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CA4" w:rsidRDefault="00AA0CA4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:rsidR="00AA0CA4" w:rsidRDefault="00AA0CA4">
      <w:pPr>
        <w:pStyle w:val="newncpi"/>
        <w:ind w:firstLine="0"/>
        <w:jc w:val="center"/>
      </w:pPr>
      <w:r>
        <w:rPr>
          <w:rStyle w:val="datepr"/>
        </w:rPr>
        <w:t>29 декабря 2016 г.</w:t>
      </w:r>
      <w:r>
        <w:rPr>
          <w:rStyle w:val="number"/>
        </w:rPr>
        <w:t xml:space="preserve"> № 110</w:t>
      </w:r>
    </w:p>
    <w:p w:rsidR="00AA0CA4" w:rsidRDefault="00AA0CA4">
      <w:pPr>
        <w:pStyle w:val="titlencpi"/>
      </w:pPr>
      <w:r>
        <w:t>О внесении изменений и дополнения в решение Ивьевского районного Совета депутатов от 28 декабря 2015 г. № 69</w:t>
      </w:r>
    </w:p>
    <w:p w:rsidR="00AA0CA4" w:rsidRDefault="00AA0CA4">
      <w:pPr>
        <w:pStyle w:val="preamble"/>
      </w:pPr>
      <w:r>
        <w:t>На основании пункта 2 статьи 122 Бюджетного кодекса Республики Беларусь Ивьевский районный Совет депутатов РЕШИЛ:</w:t>
      </w:r>
    </w:p>
    <w:p w:rsidR="00AA0CA4" w:rsidRDefault="00AA0CA4">
      <w:pPr>
        <w:pStyle w:val="point"/>
      </w:pPr>
      <w:r>
        <w:t>1. Внести в решение Ивьевского районного Совета депутатов от 28 декабря 2015 г. № 69 «О районном бюджете на 2016 год» (Национальный правовой Интернет-портал Республики Беларусь, 27.02.2016, 9/75086; 07.05.2016, 9/76314; 10.08.2016, 9/77976) следующие изменения и дополнение:</w:t>
      </w:r>
    </w:p>
    <w:p w:rsidR="00AA0CA4" w:rsidRDefault="00AA0CA4">
      <w:pPr>
        <w:pStyle w:val="underpoint"/>
      </w:pPr>
      <w:r>
        <w:t>1.1. в части первой пункта 1 цифры «27 462 659,70», «27 462 659,70» заменить цифрами «26 336 444,99», «26 336 444,99» соответственно;</w:t>
      </w:r>
    </w:p>
    <w:p w:rsidR="00AA0CA4" w:rsidRDefault="00AA0CA4">
      <w:pPr>
        <w:pStyle w:val="underpoint"/>
      </w:pPr>
      <w:r>
        <w:t>1.2. в пункте 2:</w:t>
      </w:r>
    </w:p>
    <w:p w:rsidR="00AA0CA4" w:rsidRDefault="00AA0CA4">
      <w:pPr>
        <w:pStyle w:val="newncpi"/>
      </w:pPr>
      <w:r>
        <w:t>в подпункте 2.1 цифры «27 462 659,70» заменить цифрами «26 336 444,99»;</w:t>
      </w:r>
    </w:p>
    <w:p w:rsidR="00AA0CA4" w:rsidRDefault="00AA0CA4">
      <w:pPr>
        <w:pStyle w:val="newncpi"/>
      </w:pPr>
      <w:r>
        <w:t>в подпункте 2.2 цифры «27 462 659,70» заменить цифрами «26 336 444,99»;</w:t>
      </w:r>
    </w:p>
    <w:p w:rsidR="00AA0CA4" w:rsidRDefault="00AA0CA4">
      <w:pPr>
        <w:pStyle w:val="underpoint"/>
      </w:pPr>
      <w:r>
        <w:t>1.3. в пункте 3:</w:t>
      </w:r>
    </w:p>
    <w:p w:rsidR="00AA0CA4" w:rsidRDefault="00AA0CA4">
      <w:pPr>
        <w:pStyle w:val="newncpi"/>
      </w:pPr>
      <w:r>
        <w:t>в подпункте 3.1 цифры «14 436 916,30» заменить цифрами «13 606 916,30»;</w:t>
      </w:r>
    </w:p>
    <w:p w:rsidR="00AA0CA4" w:rsidRDefault="00AA0CA4">
      <w:pPr>
        <w:pStyle w:val="newncpi"/>
      </w:pPr>
      <w:r>
        <w:t>в подпункте 3.2.1 цифры «471 267,70» заменить цифрами «419 483,59»;</w:t>
      </w:r>
    </w:p>
    <w:p w:rsidR="00AA0CA4" w:rsidRDefault="00AA0CA4">
      <w:pPr>
        <w:pStyle w:val="newncpi"/>
      </w:pPr>
      <w:r>
        <w:t>в подпункте 3.3 цифры «7400,00» заменить цифрами «7960,40»;</w:t>
      </w:r>
    </w:p>
    <w:p w:rsidR="00AA0CA4" w:rsidRDefault="00AA0CA4">
      <w:pPr>
        <w:pStyle w:val="underpoint"/>
      </w:pPr>
      <w:r>
        <w:t>1.4. дополнить решение пунктом 5</w:t>
      </w:r>
      <w:r>
        <w:rPr>
          <w:vertAlign w:val="superscript"/>
        </w:rPr>
        <w:t>1</w:t>
      </w:r>
      <w:r>
        <w:t xml:space="preserve"> следующего содержания:</w:t>
      </w:r>
    </w:p>
    <w:p w:rsidR="00AA0CA4" w:rsidRDefault="00AA0CA4">
      <w:pPr>
        <w:pStyle w:val="point"/>
      </w:pPr>
      <w:r>
        <w:rPr>
          <w:rStyle w:val="rednoun"/>
        </w:rPr>
        <w:t>«</w:t>
      </w:r>
      <w:r>
        <w:t>5</w:t>
      </w:r>
      <w:r>
        <w:rPr>
          <w:vertAlign w:val="superscript"/>
        </w:rPr>
        <w:t>1</w:t>
      </w:r>
      <w:r>
        <w:t>. Передать в 2016 году в областной бюджет межбюджетные трансферты в сумме 88 000,00 рубля.</w:t>
      </w:r>
      <w:r>
        <w:rPr>
          <w:rStyle w:val="rednoun"/>
        </w:rPr>
        <w:t>»</w:t>
      </w:r>
      <w:r>
        <w:t>;</w:t>
      </w:r>
    </w:p>
    <w:p w:rsidR="00AA0CA4" w:rsidRDefault="00AA0CA4">
      <w:pPr>
        <w:pStyle w:val="underpoint"/>
      </w:pPr>
      <w:r>
        <w:t>1.5. приложения 1–4 к решению изложить в новой редакции:</w:t>
      </w:r>
    </w:p>
    <w:p w:rsidR="00AA0CA4" w:rsidRDefault="00AA0CA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8"/>
        <w:gridCol w:w="2350"/>
      </w:tblGrid>
      <w:tr w:rsidR="00AA0CA4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append1"/>
            </w:pPr>
            <w:r>
              <w:rPr>
                <w:rStyle w:val="rednoun"/>
              </w:rPr>
              <w:t>«</w:t>
            </w:r>
            <w:r>
              <w:t>Приложение 1</w:t>
            </w:r>
          </w:p>
          <w:p w:rsidR="00AA0CA4" w:rsidRDefault="00AA0CA4">
            <w:pPr>
              <w:pStyle w:val="append"/>
            </w:pPr>
            <w:r>
              <w:t>к решению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28.12.2015 № 69</w:t>
            </w:r>
            <w:r>
              <w:br/>
              <w:t>(в редакции решения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29.12.2016 № 110)</w:t>
            </w:r>
          </w:p>
        </w:tc>
      </w:tr>
    </w:tbl>
    <w:p w:rsidR="00AA0CA4" w:rsidRDefault="00AA0CA4">
      <w:pPr>
        <w:pStyle w:val="titlep"/>
      </w:pPr>
      <w:r>
        <w:t>Доходы районного бюджета на 2016 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0"/>
        <w:gridCol w:w="710"/>
        <w:gridCol w:w="996"/>
        <w:gridCol w:w="412"/>
        <w:gridCol w:w="585"/>
        <w:gridCol w:w="996"/>
        <w:gridCol w:w="1709"/>
      </w:tblGrid>
      <w:tr w:rsidR="00AA0CA4">
        <w:trPr>
          <w:trHeight w:val="240"/>
        </w:trPr>
        <w:tc>
          <w:tcPr>
            <w:tcW w:w="2122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A0CA4" w:rsidRDefault="00AA0CA4">
            <w:pPr>
              <w:pStyle w:val="table10"/>
              <w:jc w:val="center"/>
            </w:pPr>
            <w:r>
              <w:t>Наименование</w:t>
            </w:r>
          </w:p>
        </w:tc>
        <w:tc>
          <w:tcPr>
            <w:tcW w:w="3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A0CA4" w:rsidRDefault="00AA0CA4">
            <w:pPr>
              <w:pStyle w:val="table10"/>
              <w:jc w:val="center"/>
            </w:pPr>
            <w:r>
              <w:t>Группа</w:t>
            </w:r>
          </w:p>
        </w:tc>
        <w:tc>
          <w:tcPr>
            <w:tcW w:w="5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A0CA4" w:rsidRDefault="00AA0CA4">
            <w:pPr>
              <w:pStyle w:val="table10"/>
              <w:jc w:val="center"/>
            </w:pPr>
            <w:r>
              <w:t>Подгруппа</w:t>
            </w:r>
          </w:p>
        </w:tc>
        <w:tc>
          <w:tcPr>
            <w:tcW w:w="2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A0CA4" w:rsidRDefault="00AA0CA4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3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A0CA4" w:rsidRDefault="00AA0CA4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5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A0CA4" w:rsidRDefault="00AA0CA4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909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A0CA4" w:rsidRDefault="00AA0CA4">
            <w:pPr>
              <w:pStyle w:val="table10"/>
              <w:jc w:val="center"/>
            </w:pPr>
            <w:r>
              <w:t>Сумма, рублей</w:t>
            </w:r>
          </w:p>
        </w:tc>
      </w:tr>
      <w:tr w:rsidR="00AA0CA4">
        <w:trPr>
          <w:trHeight w:val="240"/>
        </w:trPr>
        <w:tc>
          <w:tcPr>
            <w:tcW w:w="2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НАЛОГОВЫЕ ДОХОДЫ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10 935 113,70</w:t>
            </w:r>
          </w:p>
        </w:tc>
      </w:tr>
      <w:tr w:rsidR="00AA0CA4">
        <w:trPr>
          <w:trHeight w:val="240"/>
        </w:trPr>
        <w:tc>
          <w:tcPr>
            <w:tcW w:w="2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Налоги на доходы и прибыль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5 956 443,00</w:t>
            </w:r>
          </w:p>
        </w:tc>
      </w:tr>
      <w:tr w:rsidR="00AA0CA4">
        <w:trPr>
          <w:trHeight w:val="240"/>
        </w:trPr>
        <w:tc>
          <w:tcPr>
            <w:tcW w:w="2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Подоходный налог с физических лиц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5 313 008,30</w:t>
            </w:r>
          </w:p>
        </w:tc>
      </w:tr>
      <w:tr w:rsidR="00AA0CA4">
        <w:trPr>
          <w:trHeight w:val="240"/>
        </w:trPr>
        <w:tc>
          <w:tcPr>
            <w:tcW w:w="2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Налог на прибыль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643 434,70</w:t>
            </w:r>
          </w:p>
        </w:tc>
      </w:tr>
      <w:tr w:rsidR="00AA0CA4">
        <w:trPr>
          <w:trHeight w:val="240"/>
        </w:trPr>
        <w:tc>
          <w:tcPr>
            <w:tcW w:w="2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Налоги на собственность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1 689 347,00</w:t>
            </w:r>
          </w:p>
        </w:tc>
      </w:tr>
      <w:tr w:rsidR="00AA0CA4">
        <w:trPr>
          <w:trHeight w:val="240"/>
        </w:trPr>
        <w:tc>
          <w:tcPr>
            <w:tcW w:w="2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Налог на недвижимость на незавершенное строительство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16 923,00</w:t>
            </w:r>
          </w:p>
        </w:tc>
      </w:tr>
      <w:tr w:rsidR="00AA0CA4">
        <w:trPr>
          <w:trHeight w:val="240"/>
        </w:trPr>
        <w:tc>
          <w:tcPr>
            <w:tcW w:w="2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Земельный налог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376 858,00</w:t>
            </w:r>
          </w:p>
        </w:tc>
      </w:tr>
      <w:tr w:rsidR="00AA0CA4">
        <w:trPr>
          <w:trHeight w:val="240"/>
        </w:trPr>
        <w:tc>
          <w:tcPr>
            <w:tcW w:w="2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Налог на недвижимость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1 295 566,00</w:t>
            </w:r>
          </w:p>
        </w:tc>
      </w:tr>
      <w:tr w:rsidR="00AA0CA4">
        <w:trPr>
          <w:trHeight w:val="240"/>
        </w:trPr>
        <w:tc>
          <w:tcPr>
            <w:tcW w:w="2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Налоги на товары (работы, услуги)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3 206 575,10</w:t>
            </w:r>
          </w:p>
        </w:tc>
      </w:tr>
      <w:tr w:rsidR="00AA0CA4">
        <w:trPr>
          <w:trHeight w:val="240"/>
        </w:trPr>
        <w:tc>
          <w:tcPr>
            <w:tcW w:w="2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Налог на добавленную стоимость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2 056 994,10</w:t>
            </w:r>
          </w:p>
        </w:tc>
      </w:tr>
      <w:tr w:rsidR="00AA0CA4">
        <w:trPr>
          <w:trHeight w:val="240"/>
        </w:trPr>
        <w:tc>
          <w:tcPr>
            <w:tcW w:w="2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Другие налоги от выручки от реализации товаров (работ, услуг)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1 126 726,00</w:t>
            </w:r>
          </w:p>
        </w:tc>
      </w:tr>
      <w:tr w:rsidR="00AA0CA4">
        <w:trPr>
          <w:trHeight w:val="240"/>
        </w:trPr>
        <w:tc>
          <w:tcPr>
            <w:tcW w:w="2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 xml:space="preserve">Налоги и сборы на отдельные виды </w:t>
            </w:r>
            <w:r>
              <w:lastRenderedPageBreak/>
              <w:t>деятельности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lastRenderedPageBreak/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9 650,00</w:t>
            </w:r>
          </w:p>
        </w:tc>
      </w:tr>
      <w:tr w:rsidR="00AA0CA4">
        <w:trPr>
          <w:trHeight w:val="240"/>
        </w:trPr>
        <w:tc>
          <w:tcPr>
            <w:tcW w:w="2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lastRenderedPageBreak/>
              <w:t>Специальные сборы, пошлины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19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1 149,00</w:t>
            </w:r>
          </w:p>
        </w:tc>
      </w:tr>
      <w:tr w:rsidR="00AA0CA4">
        <w:trPr>
          <w:trHeight w:val="240"/>
        </w:trPr>
        <w:tc>
          <w:tcPr>
            <w:tcW w:w="2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Налог за добычу (изъятие) природных ресурсов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21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12 056,00</w:t>
            </w:r>
          </w:p>
        </w:tc>
      </w:tr>
      <w:tr w:rsidR="00AA0CA4">
        <w:trPr>
          <w:trHeight w:val="240"/>
        </w:trPr>
        <w:tc>
          <w:tcPr>
            <w:tcW w:w="2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Другие налоги, сборы (пошлины) и другие налоговые доходы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6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82 748,60</w:t>
            </w:r>
          </w:p>
        </w:tc>
      </w:tr>
      <w:tr w:rsidR="00AA0CA4">
        <w:trPr>
          <w:trHeight w:val="240"/>
        </w:trPr>
        <w:tc>
          <w:tcPr>
            <w:tcW w:w="2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Государственная пошлина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6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73 527,60</w:t>
            </w:r>
          </w:p>
        </w:tc>
      </w:tr>
      <w:tr w:rsidR="00AA0CA4">
        <w:trPr>
          <w:trHeight w:val="240"/>
        </w:trPr>
        <w:tc>
          <w:tcPr>
            <w:tcW w:w="2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Иные налоги, сборы (пошлины) и другие налоговые доходы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6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9 221,00</w:t>
            </w:r>
          </w:p>
        </w:tc>
      </w:tr>
      <w:tr w:rsidR="00AA0CA4">
        <w:trPr>
          <w:trHeight w:val="240"/>
        </w:trPr>
        <w:tc>
          <w:tcPr>
            <w:tcW w:w="2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НЕНАЛОГОВЫЕ ДОХОДЫ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1 236 971,00</w:t>
            </w:r>
          </w:p>
        </w:tc>
      </w:tr>
      <w:tr w:rsidR="00AA0CA4">
        <w:trPr>
          <w:trHeight w:val="240"/>
        </w:trPr>
        <w:tc>
          <w:tcPr>
            <w:tcW w:w="2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Доходы от использования имущества, находящегося в государственной собственности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25 763,00</w:t>
            </w:r>
          </w:p>
        </w:tc>
      </w:tr>
      <w:tr w:rsidR="00AA0CA4">
        <w:trPr>
          <w:trHeight w:val="240"/>
        </w:trPr>
        <w:tc>
          <w:tcPr>
            <w:tcW w:w="2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Проценты за пользование денежными средствами бюджетов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11 647,00</w:t>
            </w:r>
          </w:p>
        </w:tc>
      </w:tr>
      <w:tr w:rsidR="00AA0CA4">
        <w:trPr>
          <w:trHeight w:val="240"/>
        </w:trPr>
        <w:tc>
          <w:tcPr>
            <w:tcW w:w="2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Дивиденды по акциям и доходы от других форм участия в капитале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39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14 116,00</w:t>
            </w:r>
          </w:p>
        </w:tc>
      </w:tr>
      <w:tr w:rsidR="00AA0CA4">
        <w:trPr>
          <w:trHeight w:val="240"/>
        </w:trPr>
        <w:tc>
          <w:tcPr>
            <w:tcW w:w="2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Доходы от осуществления приносящей доходы деятельности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881 605,00</w:t>
            </w:r>
          </w:p>
        </w:tc>
      </w:tr>
      <w:tr w:rsidR="00AA0CA4">
        <w:trPr>
          <w:trHeight w:val="240"/>
        </w:trPr>
        <w:tc>
          <w:tcPr>
            <w:tcW w:w="2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Доходы от сдачи в аренду земельных участков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40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20 597,00</w:t>
            </w:r>
          </w:p>
        </w:tc>
      </w:tr>
      <w:tr w:rsidR="00AA0CA4">
        <w:trPr>
          <w:trHeight w:val="240"/>
        </w:trPr>
        <w:tc>
          <w:tcPr>
            <w:tcW w:w="2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Доходы от сдачи в аренду иного имущества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41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24 688,00</w:t>
            </w:r>
          </w:p>
        </w:tc>
      </w:tr>
      <w:tr w:rsidR="00AA0CA4">
        <w:trPr>
          <w:trHeight w:val="240"/>
        </w:trPr>
        <w:tc>
          <w:tcPr>
            <w:tcW w:w="2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Административные платежи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43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1 190,00</w:t>
            </w:r>
          </w:p>
        </w:tc>
      </w:tr>
      <w:tr w:rsidR="00AA0CA4">
        <w:trPr>
          <w:trHeight w:val="240"/>
        </w:trPr>
        <w:tc>
          <w:tcPr>
            <w:tcW w:w="2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Доходы от осуществления приносящей доходы деятельности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45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1 427,00</w:t>
            </w:r>
          </w:p>
        </w:tc>
      </w:tr>
      <w:tr w:rsidR="00AA0CA4">
        <w:trPr>
          <w:trHeight w:val="240"/>
        </w:trPr>
        <w:tc>
          <w:tcPr>
            <w:tcW w:w="2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Компенсации расходов государства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693 996,00</w:t>
            </w:r>
          </w:p>
        </w:tc>
      </w:tr>
      <w:tr w:rsidR="00AA0CA4">
        <w:trPr>
          <w:trHeight w:val="240"/>
        </w:trPr>
        <w:tc>
          <w:tcPr>
            <w:tcW w:w="2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Доходы от реализации имущества, имущественных прав на объекты интеллектуальной собственности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47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139 707,00</w:t>
            </w:r>
          </w:p>
        </w:tc>
      </w:tr>
      <w:tr w:rsidR="00AA0CA4">
        <w:trPr>
          <w:trHeight w:val="240"/>
        </w:trPr>
        <w:tc>
          <w:tcPr>
            <w:tcW w:w="2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Штрафы, удержания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193 633,00</w:t>
            </w:r>
          </w:p>
        </w:tc>
      </w:tr>
      <w:tr w:rsidR="00AA0CA4">
        <w:trPr>
          <w:trHeight w:val="240"/>
        </w:trPr>
        <w:tc>
          <w:tcPr>
            <w:tcW w:w="2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Штрафы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51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193 633,00</w:t>
            </w:r>
          </w:p>
        </w:tc>
      </w:tr>
      <w:tr w:rsidR="00AA0CA4">
        <w:trPr>
          <w:trHeight w:val="240"/>
        </w:trPr>
        <w:tc>
          <w:tcPr>
            <w:tcW w:w="2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135 970,00</w:t>
            </w:r>
          </w:p>
        </w:tc>
      </w:tr>
      <w:tr w:rsidR="00AA0CA4">
        <w:trPr>
          <w:trHeight w:val="240"/>
        </w:trPr>
        <w:tc>
          <w:tcPr>
            <w:tcW w:w="2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Возмещение потерь, вреда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52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5 741,00</w:t>
            </w:r>
          </w:p>
        </w:tc>
      </w:tr>
      <w:tr w:rsidR="00AA0CA4">
        <w:trPr>
          <w:trHeight w:val="240"/>
        </w:trPr>
        <w:tc>
          <w:tcPr>
            <w:tcW w:w="2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130 229,00</w:t>
            </w:r>
          </w:p>
        </w:tc>
      </w:tr>
      <w:tr w:rsidR="00AA0CA4">
        <w:trPr>
          <w:trHeight w:val="240"/>
        </w:trPr>
        <w:tc>
          <w:tcPr>
            <w:tcW w:w="2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БЕЗВОЗМЕЗДНЫЕ ПОСТУПЛЕНИЯ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14 164 360,29</w:t>
            </w:r>
          </w:p>
        </w:tc>
      </w:tr>
      <w:tr w:rsidR="00AA0CA4">
        <w:trPr>
          <w:trHeight w:val="240"/>
        </w:trPr>
        <w:tc>
          <w:tcPr>
            <w:tcW w:w="2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Безвозмездные поступления от других бюджетов бюджетной системы Республики Беларусь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14 164 360,29</w:t>
            </w:r>
          </w:p>
        </w:tc>
      </w:tr>
      <w:tr w:rsidR="00AA0CA4">
        <w:trPr>
          <w:trHeight w:val="240"/>
        </w:trPr>
        <w:tc>
          <w:tcPr>
            <w:tcW w:w="2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Текущие безвозмездные поступления от других бюджетов бюджетной системы Республики Беларусь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14 164 360,29</w:t>
            </w:r>
          </w:p>
        </w:tc>
      </w:tr>
      <w:tr w:rsidR="00AA0CA4">
        <w:trPr>
          <w:trHeight w:val="240"/>
        </w:trPr>
        <w:tc>
          <w:tcPr>
            <w:tcW w:w="2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Дотации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60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13 606 916,30</w:t>
            </w:r>
          </w:p>
        </w:tc>
      </w:tr>
      <w:tr w:rsidR="00AA0CA4">
        <w:trPr>
          <w:trHeight w:val="240"/>
        </w:trPr>
        <w:tc>
          <w:tcPr>
            <w:tcW w:w="2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Субвенции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61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549 483,59</w:t>
            </w:r>
          </w:p>
        </w:tc>
      </w:tr>
      <w:tr w:rsidR="00AA0CA4">
        <w:trPr>
          <w:trHeight w:val="240"/>
        </w:trPr>
        <w:tc>
          <w:tcPr>
            <w:tcW w:w="2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Субвенции на финансирование расходов по преодолению последствий катастрофы на Чернобыльской АЭС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61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419 483,59</w:t>
            </w:r>
          </w:p>
        </w:tc>
      </w:tr>
      <w:tr w:rsidR="00AA0CA4">
        <w:trPr>
          <w:trHeight w:val="240"/>
        </w:trPr>
        <w:tc>
          <w:tcPr>
            <w:tcW w:w="2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Субвенции на финансирование расходов по индексированным жилищным квотам (именным приватизационным чекам «Жилье»)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61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130 000,00</w:t>
            </w:r>
          </w:p>
        </w:tc>
      </w:tr>
      <w:tr w:rsidR="00AA0CA4">
        <w:trPr>
          <w:trHeight w:val="240"/>
        </w:trPr>
        <w:tc>
          <w:tcPr>
            <w:tcW w:w="2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Иные межбюджетные трансферты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62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7 960,40</w:t>
            </w:r>
          </w:p>
        </w:tc>
      </w:tr>
      <w:tr w:rsidR="00AA0CA4">
        <w:trPr>
          <w:trHeight w:val="240"/>
        </w:trPr>
        <w:tc>
          <w:tcPr>
            <w:tcW w:w="2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Иные межбюджетные трансферты из вышестоящего бюджета нижестоящему бюджету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62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7 960,40</w:t>
            </w:r>
          </w:p>
        </w:tc>
      </w:tr>
      <w:tr w:rsidR="00AA0CA4">
        <w:trPr>
          <w:trHeight w:val="240"/>
        </w:trPr>
        <w:tc>
          <w:tcPr>
            <w:tcW w:w="2122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ВСЕГО доходов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26 336 444,99</w:t>
            </w:r>
          </w:p>
        </w:tc>
      </w:tr>
    </w:tbl>
    <w:p w:rsidR="00AA0CA4" w:rsidRDefault="00AA0CA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8"/>
        <w:gridCol w:w="2350"/>
      </w:tblGrid>
      <w:tr w:rsidR="00AA0CA4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append1"/>
            </w:pPr>
            <w:r>
              <w:t>Приложение 2</w:t>
            </w:r>
          </w:p>
          <w:p w:rsidR="00AA0CA4" w:rsidRDefault="00AA0CA4">
            <w:pPr>
              <w:pStyle w:val="append"/>
            </w:pPr>
            <w:r>
              <w:t>к решению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</w:r>
            <w:r>
              <w:lastRenderedPageBreak/>
              <w:t>28.12.2015 № 69</w:t>
            </w:r>
            <w:r>
              <w:br/>
              <w:t>(в редакции решения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29.12.2016 № 110)</w:t>
            </w:r>
          </w:p>
        </w:tc>
      </w:tr>
    </w:tbl>
    <w:p w:rsidR="00AA0CA4" w:rsidRDefault="00AA0CA4">
      <w:pPr>
        <w:pStyle w:val="titlep"/>
      </w:pPr>
      <w:r>
        <w:lastRenderedPageBreak/>
        <w:t>Расходы районного бюджета по функциональной классификации расходов бюджета по разделам, подразделам и видам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6"/>
        <w:gridCol w:w="710"/>
        <w:gridCol w:w="996"/>
        <w:gridCol w:w="429"/>
        <w:gridCol w:w="1707"/>
      </w:tblGrid>
      <w:tr w:rsidR="00AA0CA4">
        <w:trPr>
          <w:trHeight w:val="240"/>
        </w:trPr>
        <w:tc>
          <w:tcPr>
            <w:tcW w:w="2955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A0CA4" w:rsidRDefault="00AA0CA4">
            <w:pPr>
              <w:pStyle w:val="table10"/>
              <w:jc w:val="center"/>
            </w:pPr>
            <w:r>
              <w:t>Наименование расходов</w:t>
            </w:r>
          </w:p>
        </w:tc>
        <w:tc>
          <w:tcPr>
            <w:tcW w:w="3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A0CA4" w:rsidRDefault="00AA0CA4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5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A0CA4" w:rsidRDefault="00AA0CA4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2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A0CA4" w:rsidRDefault="00AA0CA4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908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A0CA4" w:rsidRDefault="00AA0CA4">
            <w:pPr>
              <w:pStyle w:val="table10"/>
              <w:jc w:val="center"/>
            </w:pPr>
            <w:r>
              <w:t>Сумма, рублей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2 066 998,89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1 440 724,90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1 439 306,90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Государственные архивы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07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1 418,00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Резервные фонды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48 801,70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Резервные фонды местных исполнительных и распорядительных органов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48 801,70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75 030,49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Бюджетные кредиты, ссуды, займы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–23 620,91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98 651,40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502 441,80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502 441,80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НАЦИОНАЛЬНАЯ ОБОРОНА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5 000,00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Обеспечение мобилизационной подготовки и мобилизации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5 000,00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СУДЕБНАЯ ВЛАСТЬ, ПРАВООХРАНИТЕЛЬНАЯ ДЕЯТЕЛЬНОСТЬ И ОБЕСПЕЧЕНИЕ БЕЗОПАСНОСТИ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14 635,00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Предупреждение и ликвидация последствий чрезвычайных ситуаций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14 635,00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872 417,40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Общие экономические вопросы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3 662,00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Регулирование экономической деятельности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3 662,00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Сельское хозяйство, рыбохозяйственная деятельность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501 653,40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Сельскохозяйственные организации, финансируемые из бюджета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347 019,40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Развитие сельскохозяйственного производства, рыбоводства и переработки сельскохозяйственной продукции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3 934,00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Прочие вопросы в области сельского хозяйства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05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150 700,00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Промышленность, строительство и архитектура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35 000,00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Строительство и архитектура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35 000,00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Транспорт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156 200,00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Автомобильный транспорт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156 200,00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Топливо и энергетика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169 249,00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Другая деятельность в области национальной экономики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6 653,00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Имущественные отношения, картография и геодезия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5 453,00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Туризм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1 200,00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19 287,00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19 287,00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2 273 102,00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Жилищное строительство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36 498,00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1 678 948,00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537 732,00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Другие вопросы в области жилищно-коммунальных услуг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19 924,00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ЗДРАВООХРАНЕНИЕ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6 962 850,00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Медицинская помощь населению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6 962 850,00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1 390 743,92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Физическая культура и спорт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134 474,32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lastRenderedPageBreak/>
              <w:t>Физическая культура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134 474,32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Культура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1 216 564,60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Культура и искусство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1 109 979,00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Прочие вопросы в области культуры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106 585,60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39 705,00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Телевидение и радиовещание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4 705,00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Периодическая печать и издательства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35 000,00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ОБРАЗОВАНИЕ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10 652 320,91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Дошкольное образование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1 924 240,86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Общее среднее образование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7 464 134,51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Дополнительное образование детей и молодежи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730 725,00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Другие вопросы в области образования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533 220,54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СОЦИАЛЬНАЯ ПОЛИТИКА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2 079 089,87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Социальная защита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1 144 109,30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Помощь семьям, воспитывающим детей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1 358,00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4 990,00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Помощь в обеспечении жильем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147 439,00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Другие вопросы в области социальной политики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781 193,57</w:t>
            </w:r>
          </w:p>
        </w:tc>
      </w:tr>
      <w:tr w:rsidR="00AA0CA4">
        <w:trPr>
          <w:trHeight w:val="240"/>
        </w:trPr>
        <w:tc>
          <w:tcPr>
            <w:tcW w:w="2955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ВСЕГО расходов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26 336 444,99</w:t>
            </w:r>
          </w:p>
        </w:tc>
      </w:tr>
    </w:tbl>
    <w:p w:rsidR="00AA0CA4" w:rsidRDefault="00AA0CA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8"/>
        <w:gridCol w:w="2350"/>
      </w:tblGrid>
      <w:tr w:rsidR="00AA0CA4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append1"/>
            </w:pPr>
            <w:r>
              <w:t>Приложение 3</w:t>
            </w:r>
          </w:p>
          <w:p w:rsidR="00AA0CA4" w:rsidRDefault="00AA0CA4">
            <w:pPr>
              <w:pStyle w:val="append"/>
            </w:pPr>
            <w:r>
              <w:t>к решению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28.12.2015 № 69</w:t>
            </w:r>
            <w:r>
              <w:br/>
              <w:t>(в редакции решения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29.12.2016 № 110)</w:t>
            </w:r>
          </w:p>
        </w:tc>
      </w:tr>
    </w:tbl>
    <w:p w:rsidR="00AA0CA4" w:rsidRDefault="00AA0CA4">
      <w:pPr>
        <w:pStyle w:val="titlep"/>
      </w:pPr>
      <w:r>
        <w:t>Распределение бюджетных назначений по распорядителям бюджетных средств в соответствии с ведомственной классификацией расходов районного бюджета и функциональной классификацией расходов бюджета по разделам, подразделам и видам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27"/>
        <w:gridCol w:w="554"/>
        <w:gridCol w:w="585"/>
        <w:gridCol w:w="996"/>
        <w:gridCol w:w="427"/>
        <w:gridCol w:w="1709"/>
      </w:tblGrid>
      <w:tr w:rsidR="00AA0CA4">
        <w:trPr>
          <w:trHeight w:val="240"/>
        </w:trPr>
        <w:tc>
          <w:tcPr>
            <w:tcW w:w="2728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A0CA4" w:rsidRDefault="00AA0CA4">
            <w:pPr>
              <w:pStyle w:val="table10"/>
              <w:jc w:val="center"/>
            </w:pPr>
            <w:r>
              <w:t>Наименование</w:t>
            </w:r>
          </w:p>
        </w:tc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A0CA4" w:rsidRDefault="00AA0CA4">
            <w:pPr>
              <w:pStyle w:val="table10"/>
              <w:jc w:val="center"/>
            </w:pPr>
            <w:r>
              <w:t>Глава</w:t>
            </w:r>
          </w:p>
        </w:tc>
        <w:tc>
          <w:tcPr>
            <w:tcW w:w="3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A0CA4" w:rsidRDefault="00AA0CA4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5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A0CA4" w:rsidRDefault="00AA0CA4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2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A0CA4" w:rsidRDefault="00AA0CA4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909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A0CA4" w:rsidRDefault="00AA0CA4">
            <w:pPr>
              <w:pStyle w:val="table10"/>
              <w:jc w:val="center"/>
            </w:pPr>
            <w:r>
              <w:t>Объем финансирования, рублей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Районный бюджет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26 336 444,99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1 159 367,48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963 193,80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857 526,70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856 108,70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Государственные архивы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07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1 418,00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Резервные фонды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48 801,70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Резервные фонды местных исполнительных и распорядительных органов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48 801,70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56 865,40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56 865,40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Национальная оборона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5 000,00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Обеспечение мобилизационной подготовки и мобилизации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5 000,00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Судебная власть, правоохранительная деятельность и обеспечение безопасности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1 200,00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Предупреждение и ликвидация последствий чрезвычайных ситуаций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1 200,00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40 453,00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Промышленность, строительство и архитектура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35 000,00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Строительство и архитектура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35 000,00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lastRenderedPageBreak/>
              <w:t>Другая деятельность в области национальной экономики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5 453,00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Имущественные отношения, картография и геодезия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5 453,00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11 005,00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11 005,00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Телевидение и радиовещание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4 705,00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Периодическая печать и издательства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6 300,00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Социальная политика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138 515,68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Помощь в обеспечении жильем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06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130 000,00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Другие вопросы в области социальной политики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8 515,68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Учреждение здравоохранения «Ивьевская центральная районная больница»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6 962 850,00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Здравоохранение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6 962 850,00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Медицинская помощь населению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6 962 850,00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Отдел идеологической работы, культуры и по делам молодежи Ивьевского районного исполнительного комитета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1 851 468,50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67 903,90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67 903,90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67 903,90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1 216 564,60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Культура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1 216 564,60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Культура и искусство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1 109 979,00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Прочие вопросы в области культуры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106 585,60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Образование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565 000,00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Дополнительное образование детей и молодежи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07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565 000,00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Социальная политика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2 000,00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2 000,00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Отдел образования, спорта и туризма Ивьевского районного исполнительного комитета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10 943 523,82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85 199,40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85 199,40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85 199,40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Судебная власть, правоохранительная деятельность и обеспечение безопасности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7 635,00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Предупреждение и ликвидация последствий чрезвычайных ситуаций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7 635,00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1 200,00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Другая деятельность в области национальной экономики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1 200,00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Туризм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1 200,00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134 474,32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Физическая культура и спорт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134 474,32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Физическая культура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134 474,32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Образование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10 087 320,91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Дошкольное образование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1 924 240,86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Общее среднее образование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7 464 134,51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Дополнительное образование детей и молодежи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07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165 725,00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Другие вопросы в области образования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533 220,54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Социальная политика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627 694,19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Социальная защита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208 910,60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Другие вопросы в области социальной политики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418 783,59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Управление сельского хозяйства и продовольствия Ивьевского районного исполнительного комитета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749 837,60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219 435,20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219 435,20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219 435,20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 xml:space="preserve">Судебная власть, правоохранительная деятельность и </w:t>
            </w:r>
            <w:r>
              <w:lastRenderedPageBreak/>
              <w:t>обеспечение безопасности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lastRenderedPageBreak/>
              <w:t>082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5 800,00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lastRenderedPageBreak/>
              <w:t>Предупреждение и ликвидация последствий чрезвычайных ситуаций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5 800,00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505 315,40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Общие экономические вопросы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3 662,00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Регулирование экономической деятельности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3 662,00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Сельское хозяйство, рыбохозяйственная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501 653,40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Сельскохозяйственные организации, финансируемые из бюджета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347 019,40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Развитие сельскохозяйственного производства, рыбоводства и переработки сельскохозяйственной продукции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3 934,00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Прочие вопросы в области сельского хозяйства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05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150 700,00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19 287,00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19 287,00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1 016 727,00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39 138,00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39 138,00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39 138,00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977 298,00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Жилищное строительство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36 498,00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383 144,00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537 732,00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Другие вопросы в области жилищно-коммунальных услуг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19 924,00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Социальная политика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291,00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Другие вопросы в области социальной политики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291,00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Управление по труду, занятости и социальной защите Ивьевского районного исполнительного комитета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1 500 819,70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210 659,70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210 659,70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210 659,70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Социальная политика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1 290 160,00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Социальная защита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935 198,70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Помощь семьям, воспитывающим детей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1 358,00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Другие вопросы в области социальной политики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353 603,30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1 758 040,00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90 648,00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2 648,00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2 648,00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88 000,00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88 000,00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325 449,00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Транспорт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156 200,00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Автомобильный транспорт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156 200,00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Топливо и энергетика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169 249,00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1 295 804,00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1 295 804,00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28 700,00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28 700,00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Периодическая печать и издательства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28 700,00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Социальная политика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17 439,00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Помощь в обеспечении жильем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06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17 439,00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Бакштовский сельский исполнительный комитет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30 920,00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30 920,00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lastRenderedPageBreak/>
              <w:t>Межбюджетные трансферты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30 920,00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30 920,00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Гераненский сельский исполнительный комитет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50 947,40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50 947,40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50 947,40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50 947,40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Ивьевский сельский исполнительный комитет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36 070,00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36 070,00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36 070,00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36 070,00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Лаздунский сельский исполнительный комитет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32 960,00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32 960,00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32 960,00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32 960,00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Лелюкинский сельский исполнительный комитет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32 570,00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32 570,00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32 570,00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32 570,00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Липнишковский сельский исполнительный комитет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41 841,10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41 841,10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41 841,10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41 841,10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Моринский сельский исполнительный комитет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337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37 240,00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337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37 240,00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337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37 240,00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337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37 240,00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Субботникский сельский исполнительный комитет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38 111,00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38 111,00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38 111,00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38 111,00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Трабский сельский исполнительный комитет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44 736,90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44 736,90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44 736,90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44 736,90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Эйгердовский сельский исполнительный комитет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28 240,00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28 240,00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28 240,00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28 240,00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Юратишковский сельский исполнительный комитет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40 805,40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40 805,40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40 805,40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40 805,40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Ивьевская районная организация общественного объединения «Белорусский республиканский союз молодежи»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2 990,00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Социальная политика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2 990,00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2 990,00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Прочие управления, отделы Ивьевского районного исполнительного комитета и организации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999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–23 620,91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999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–23 620,91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999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–23 620,91</w:t>
            </w:r>
          </w:p>
        </w:tc>
      </w:tr>
      <w:tr w:rsidR="00AA0CA4">
        <w:trPr>
          <w:trHeight w:val="240"/>
        </w:trPr>
        <w:tc>
          <w:tcPr>
            <w:tcW w:w="272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Бюджетные кредиты, ссуды, займы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999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–23 620,91</w:t>
            </w:r>
          </w:p>
        </w:tc>
      </w:tr>
    </w:tbl>
    <w:p w:rsidR="00AA0CA4" w:rsidRDefault="00AA0CA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8"/>
        <w:gridCol w:w="2350"/>
      </w:tblGrid>
      <w:tr w:rsidR="00AA0CA4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append1"/>
            </w:pPr>
            <w:r>
              <w:t>Приложение 4</w:t>
            </w:r>
          </w:p>
          <w:p w:rsidR="00AA0CA4" w:rsidRDefault="00AA0CA4">
            <w:pPr>
              <w:pStyle w:val="append"/>
            </w:pPr>
            <w:r>
              <w:t>к решению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28.12.2015 № 69</w:t>
            </w:r>
            <w:r>
              <w:br/>
            </w:r>
            <w:r>
              <w:lastRenderedPageBreak/>
              <w:t>(в редакции решения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29.12.2016 № 110)</w:t>
            </w:r>
          </w:p>
        </w:tc>
      </w:tr>
    </w:tbl>
    <w:p w:rsidR="00AA0CA4" w:rsidRDefault="00AA0CA4">
      <w:pPr>
        <w:pStyle w:val="titlep"/>
        <w:jc w:val="left"/>
      </w:pPr>
      <w:r>
        <w:lastRenderedPageBreak/>
        <w:t>ПЕРЕЧЕНЬ</w:t>
      </w:r>
      <w:r>
        <w:br/>
        <w:t>государственных программ и подпрограмм, финансирование которых предусматривается за счет средств районного бюджета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6"/>
        <w:gridCol w:w="2543"/>
        <w:gridCol w:w="2440"/>
        <w:gridCol w:w="1709"/>
      </w:tblGrid>
      <w:tr w:rsidR="00AA0CA4">
        <w:trPr>
          <w:trHeight w:val="240"/>
        </w:trPr>
        <w:tc>
          <w:tcPr>
            <w:tcW w:w="1440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A0CA4" w:rsidRDefault="00AA0CA4">
            <w:pPr>
              <w:pStyle w:val="table10"/>
              <w:jc w:val="center"/>
            </w:pPr>
            <w:r>
              <w:t>Наименование государственной программы, подпрограммы</w:t>
            </w:r>
          </w:p>
        </w:tc>
        <w:tc>
          <w:tcPr>
            <w:tcW w:w="13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A0CA4" w:rsidRDefault="00AA0CA4">
            <w:pPr>
              <w:pStyle w:val="table10"/>
              <w:jc w:val="center"/>
            </w:pPr>
            <w:r>
              <w:t>Нормативный правовой акт, которым утверждена государственная программа</w:t>
            </w:r>
          </w:p>
        </w:tc>
        <w:tc>
          <w:tcPr>
            <w:tcW w:w="1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A0CA4" w:rsidRDefault="00AA0CA4">
            <w:pPr>
              <w:pStyle w:val="table10"/>
              <w:jc w:val="center"/>
            </w:pPr>
            <w:r>
              <w:t>Раздел функциональной классификации расходов бюджета, распорядитель средств</w:t>
            </w:r>
          </w:p>
        </w:tc>
        <w:tc>
          <w:tcPr>
            <w:tcW w:w="909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A0CA4" w:rsidRDefault="00AA0CA4">
            <w:pPr>
              <w:pStyle w:val="table10"/>
              <w:jc w:val="center"/>
            </w:pPr>
            <w:r>
              <w:t>Объем финансирования в 2016 году, рублей</w:t>
            </w:r>
          </w:p>
        </w:tc>
      </w:tr>
      <w:tr w:rsidR="00AA0CA4">
        <w:trPr>
          <w:trHeight w:val="240"/>
        </w:trPr>
        <w:tc>
          <w:tcPr>
            <w:tcW w:w="1440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1. Государственная программа по преодолению последствий катастрофы на Чернобыльской АЭС на 2011–2015 годы и на период до 2020 года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Постановление Совета Министров Республики Беларусь от 31 декабря 2010 г. № 1922 (Национальный реестр правовых актов Республики Беларусь, 2011 г., № 10, 5/33118)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601 565,89</w:t>
            </w:r>
          </w:p>
        </w:tc>
      </w:tr>
      <w:tr w:rsidR="00AA0CA4">
        <w:trPr>
          <w:trHeight w:val="240"/>
        </w:trPr>
        <w:tc>
          <w:tcPr>
            <w:tcW w:w="1440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353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700,00</w:t>
            </w:r>
          </w:p>
        </w:tc>
      </w:tr>
      <w:tr w:rsidR="00AA0CA4">
        <w:trPr>
          <w:trHeight w:val="240"/>
        </w:trPr>
        <w:tc>
          <w:tcPr>
            <w:tcW w:w="1440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353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Управление сельского хозяйства и продовольствия Ивьевского районного исполнительного комитета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700,00</w:t>
            </w:r>
          </w:p>
        </w:tc>
      </w:tr>
      <w:tr w:rsidR="00AA0CA4">
        <w:trPr>
          <w:trHeight w:val="240"/>
        </w:trPr>
        <w:tc>
          <w:tcPr>
            <w:tcW w:w="1440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353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Здравоохранение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182 082,30</w:t>
            </w:r>
          </w:p>
        </w:tc>
      </w:tr>
      <w:tr w:rsidR="00AA0CA4">
        <w:trPr>
          <w:trHeight w:val="240"/>
        </w:trPr>
        <w:tc>
          <w:tcPr>
            <w:tcW w:w="1440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353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Учреждение здравоохранения «Ивьевская центральная районная больница»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182 082,30</w:t>
            </w:r>
          </w:p>
        </w:tc>
      </w:tr>
      <w:tr w:rsidR="00AA0CA4">
        <w:trPr>
          <w:trHeight w:val="240"/>
        </w:trPr>
        <w:tc>
          <w:tcPr>
            <w:tcW w:w="1440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353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Социальная политика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418 783,59</w:t>
            </w:r>
          </w:p>
        </w:tc>
      </w:tr>
      <w:tr w:rsidR="00AA0CA4">
        <w:trPr>
          <w:trHeight w:val="240"/>
        </w:trPr>
        <w:tc>
          <w:tcPr>
            <w:tcW w:w="1440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3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Отдел образования, спорта и туризма Ивьевского районного исполнительного комитета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418 783,59</w:t>
            </w:r>
          </w:p>
        </w:tc>
      </w:tr>
      <w:tr w:rsidR="00AA0CA4">
        <w:trPr>
          <w:trHeight w:val="240"/>
        </w:trPr>
        <w:tc>
          <w:tcPr>
            <w:tcW w:w="14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2. Государственная программа о социальной защите и содействии занятости населения на 2016–2020 годы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Постановление Совета Министров Республики Беларусь от 30 января 2016 г. № 73 (Национальный правовой Интернет-портал Республики Беларусь, 12.02.2016, 5/41675)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1 248 291,00</w:t>
            </w:r>
          </w:p>
        </w:tc>
      </w:tr>
      <w:tr w:rsidR="00AA0CA4">
        <w:trPr>
          <w:trHeight w:val="240"/>
        </w:trPr>
        <w:tc>
          <w:tcPr>
            <w:tcW w:w="144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2.1. подпрограмма 3 «Предупреждение инвалидности и реабилитация инвалидов»</w:t>
            </w:r>
          </w:p>
        </w:tc>
        <w:tc>
          <w:tcPr>
            <w:tcW w:w="1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Социальная политика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500,00</w:t>
            </w:r>
          </w:p>
        </w:tc>
      </w:tr>
      <w:tr w:rsidR="00AA0CA4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Управление по труду, занятости и социальной защите Ивьевского районного исполнительного комитета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500,00</w:t>
            </w:r>
          </w:p>
        </w:tc>
      </w:tr>
      <w:tr w:rsidR="00AA0CA4">
        <w:trPr>
          <w:trHeight w:val="240"/>
        </w:trPr>
        <w:tc>
          <w:tcPr>
            <w:tcW w:w="1440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2.2. подпрограмма 5 «Социальная интеграция инвалидов и пожилых граждан»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1 247 791,00</w:t>
            </w:r>
          </w:p>
        </w:tc>
      </w:tr>
      <w:tr w:rsidR="00AA0CA4">
        <w:trPr>
          <w:trHeight w:val="240"/>
        </w:trPr>
        <w:tc>
          <w:tcPr>
            <w:tcW w:w="1440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35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Социальная политика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1 239 291,00</w:t>
            </w:r>
          </w:p>
        </w:tc>
      </w:tr>
      <w:tr w:rsidR="00AA0CA4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Управление по труду, занятости и социальной защите Ивьевского районного исполнительного комитета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1 239 291,00</w:t>
            </w:r>
          </w:p>
        </w:tc>
      </w:tr>
      <w:tr w:rsidR="00AA0CA4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Социальная политика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8 500,00</w:t>
            </w:r>
          </w:p>
        </w:tc>
      </w:tr>
      <w:tr w:rsidR="00AA0CA4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8 500,00</w:t>
            </w:r>
          </w:p>
        </w:tc>
      </w:tr>
      <w:tr w:rsidR="00AA0CA4">
        <w:trPr>
          <w:trHeight w:val="240"/>
        </w:trPr>
        <w:tc>
          <w:tcPr>
            <w:tcW w:w="14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3. Государственная программа «Здоровье народа и демографическая безопасность Республики Беларусь» на 2016–2020 годы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Постановление Совета Министров Республики Беларусь от 14 марта 2016 г. № 200 (Национальный правовой Интернет-портал Республики Беларусь, 30.03.2016, 5/41840)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6 784 075,70</w:t>
            </w:r>
          </w:p>
        </w:tc>
      </w:tr>
      <w:tr w:rsidR="00AA0CA4">
        <w:trPr>
          <w:trHeight w:val="240"/>
        </w:trPr>
        <w:tc>
          <w:tcPr>
            <w:tcW w:w="144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3.1. подпрограмма 1 «Семья и детство»</w:t>
            </w:r>
          </w:p>
        </w:tc>
        <w:tc>
          <w:tcPr>
            <w:tcW w:w="1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Социальная политика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3 308,00</w:t>
            </w:r>
          </w:p>
        </w:tc>
      </w:tr>
      <w:tr w:rsidR="00AA0CA4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Управление по труду, занятости и социальной защите Ивьевского районного исполнительного комитета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3 308,00</w:t>
            </w:r>
          </w:p>
        </w:tc>
      </w:tr>
      <w:tr w:rsidR="00AA0CA4">
        <w:trPr>
          <w:trHeight w:val="240"/>
        </w:trPr>
        <w:tc>
          <w:tcPr>
            <w:tcW w:w="144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3.2. подпрограмма 4 «Туберкулез»</w:t>
            </w:r>
          </w:p>
        </w:tc>
        <w:tc>
          <w:tcPr>
            <w:tcW w:w="1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Здравоохранение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2 025,50</w:t>
            </w:r>
          </w:p>
        </w:tc>
      </w:tr>
      <w:tr w:rsidR="00AA0CA4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Учреждение здравоохранения «Ивьевская центральная районная больница»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2 025,50</w:t>
            </w:r>
          </w:p>
        </w:tc>
      </w:tr>
      <w:tr w:rsidR="00AA0CA4">
        <w:trPr>
          <w:trHeight w:val="240"/>
        </w:trPr>
        <w:tc>
          <w:tcPr>
            <w:tcW w:w="144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3.3. подпрограмма 7 «Обеспечение функционирования системы здравоохранения Республики Беларусь»</w:t>
            </w:r>
          </w:p>
        </w:tc>
        <w:tc>
          <w:tcPr>
            <w:tcW w:w="1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Здравоохранение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6 778 742,20</w:t>
            </w:r>
          </w:p>
        </w:tc>
      </w:tr>
      <w:tr w:rsidR="00AA0CA4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Учреждение здравоохранения «Ивьевская центральная районная больница»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6 778 742,20</w:t>
            </w:r>
          </w:p>
        </w:tc>
      </w:tr>
      <w:tr w:rsidR="00AA0CA4">
        <w:trPr>
          <w:trHeight w:val="240"/>
        </w:trPr>
        <w:tc>
          <w:tcPr>
            <w:tcW w:w="14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4. Государственная программа «Культура Беларуси» на 2016–2020 годы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Постановление Совета Министров Республики Беларусь от 4 марта 2016 г. № 180 (Национальный правовой Интернет-портал Республики Беларусь, 23.03.2016, 5/41814)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1 217 982,60</w:t>
            </w:r>
          </w:p>
        </w:tc>
      </w:tr>
      <w:tr w:rsidR="00AA0CA4">
        <w:trPr>
          <w:trHeight w:val="240"/>
        </w:trPr>
        <w:tc>
          <w:tcPr>
            <w:tcW w:w="144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4.1. подпрограмма 1 «Наследие»</w:t>
            </w:r>
          </w:p>
        </w:tc>
        <w:tc>
          <w:tcPr>
            <w:tcW w:w="1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436 187,53</w:t>
            </w:r>
          </w:p>
        </w:tc>
      </w:tr>
      <w:tr w:rsidR="00AA0CA4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Отдел идеологической работы, культуры и по делам молодежи Ивьевского районного исполнительного комитета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436 187,53</w:t>
            </w:r>
          </w:p>
        </w:tc>
      </w:tr>
      <w:tr w:rsidR="00AA0CA4">
        <w:trPr>
          <w:trHeight w:val="240"/>
        </w:trPr>
        <w:tc>
          <w:tcPr>
            <w:tcW w:w="144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4.2. подпрограмма 2 «Искусство и творчество»</w:t>
            </w:r>
          </w:p>
        </w:tc>
        <w:tc>
          <w:tcPr>
            <w:tcW w:w="1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780 377,07</w:t>
            </w:r>
          </w:p>
        </w:tc>
      </w:tr>
      <w:tr w:rsidR="00AA0CA4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Отдел идеологической работы, культуры и по делам молодежи Ивьевского районного исполнительного комитета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780 377,07</w:t>
            </w:r>
          </w:p>
        </w:tc>
      </w:tr>
      <w:tr w:rsidR="00AA0CA4">
        <w:trPr>
          <w:trHeight w:val="240"/>
        </w:trPr>
        <w:tc>
          <w:tcPr>
            <w:tcW w:w="144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4.3. подпрограмма 3 «Архивы Беларуси»</w:t>
            </w:r>
          </w:p>
        </w:tc>
        <w:tc>
          <w:tcPr>
            <w:tcW w:w="1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1 418,00</w:t>
            </w:r>
          </w:p>
        </w:tc>
      </w:tr>
      <w:tr w:rsidR="00AA0CA4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1 418,00</w:t>
            </w:r>
          </w:p>
        </w:tc>
      </w:tr>
      <w:tr w:rsidR="00AA0CA4">
        <w:trPr>
          <w:trHeight w:val="240"/>
        </w:trPr>
        <w:tc>
          <w:tcPr>
            <w:tcW w:w="14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5. Государственная программа «Образование и молодежная политика» на 2016–2020 годы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Постановление Совета Министров Республики Беларусь от 28 марта 2016 г. № 250 (Национальный правовой Интернет-портал Республики Беларусь, 13.04.2016, 5/41915)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10 863 231,51</w:t>
            </w:r>
          </w:p>
        </w:tc>
      </w:tr>
      <w:tr w:rsidR="00AA0CA4">
        <w:trPr>
          <w:trHeight w:val="240"/>
        </w:trPr>
        <w:tc>
          <w:tcPr>
            <w:tcW w:w="144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 xml:space="preserve">5.1. подпрограмма 1 «Развитие системы дошкольного </w:t>
            </w:r>
            <w:r>
              <w:lastRenderedPageBreak/>
              <w:t>образования»</w:t>
            </w:r>
          </w:p>
        </w:tc>
        <w:tc>
          <w:tcPr>
            <w:tcW w:w="1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lastRenderedPageBreak/>
              <w:t> 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Образование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1 924 240,86</w:t>
            </w:r>
          </w:p>
        </w:tc>
      </w:tr>
      <w:tr w:rsidR="00AA0CA4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 xml:space="preserve">Отдел образования, спорта </w:t>
            </w:r>
            <w:r>
              <w:lastRenderedPageBreak/>
              <w:t>и туризма Ивьевского районного исполнительного комитета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lastRenderedPageBreak/>
              <w:t>1 924 240,86</w:t>
            </w:r>
          </w:p>
        </w:tc>
      </w:tr>
      <w:tr w:rsidR="00AA0CA4">
        <w:trPr>
          <w:trHeight w:val="240"/>
        </w:trPr>
        <w:tc>
          <w:tcPr>
            <w:tcW w:w="144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lastRenderedPageBreak/>
              <w:t>5.2. подпрограмма 2 «Развитие системы общего среднего образования»</w:t>
            </w:r>
          </w:p>
        </w:tc>
        <w:tc>
          <w:tcPr>
            <w:tcW w:w="1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Образование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7 346 006,95</w:t>
            </w:r>
          </w:p>
        </w:tc>
      </w:tr>
      <w:tr w:rsidR="00AA0CA4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Отдел образования, спорта и туризма Ивьевского районного исполнительного комитета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7 346 006,95</w:t>
            </w:r>
          </w:p>
        </w:tc>
      </w:tr>
      <w:tr w:rsidR="00AA0CA4">
        <w:trPr>
          <w:trHeight w:val="240"/>
        </w:trPr>
        <w:tc>
          <w:tcPr>
            <w:tcW w:w="144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5.3. подпрограмма 3 «Развитие системы специального образования»</w:t>
            </w:r>
          </w:p>
        </w:tc>
        <w:tc>
          <w:tcPr>
            <w:tcW w:w="1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Образование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118 127,56</w:t>
            </w:r>
          </w:p>
        </w:tc>
      </w:tr>
      <w:tr w:rsidR="00AA0CA4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Отдел образования, спорта и туризма Ивьевского районного исполнительного комитета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118 127,56</w:t>
            </w:r>
          </w:p>
        </w:tc>
      </w:tr>
      <w:tr w:rsidR="00AA0CA4">
        <w:trPr>
          <w:trHeight w:val="240"/>
        </w:trPr>
        <w:tc>
          <w:tcPr>
            <w:tcW w:w="1440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5.4. подпрограмма 8 «Развитие системы дополнительного образования детей и молодежи»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730 725,00</w:t>
            </w:r>
          </w:p>
        </w:tc>
      </w:tr>
      <w:tr w:rsidR="00AA0CA4">
        <w:trPr>
          <w:trHeight w:val="240"/>
        </w:trPr>
        <w:tc>
          <w:tcPr>
            <w:tcW w:w="1440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35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Образование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165 725,00</w:t>
            </w:r>
          </w:p>
        </w:tc>
      </w:tr>
      <w:tr w:rsidR="00AA0CA4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Отдел образования, спорта и туризма Ивьевского районного исполнительного комитета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165 725,00</w:t>
            </w:r>
          </w:p>
        </w:tc>
      </w:tr>
      <w:tr w:rsidR="00AA0CA4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Образование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565 000,00</w:t>
            </w:r>
          </w:p>
        </w:tc>
      </w:tr>
      <w:tr w:rsidR="00AA0CA4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Отдел идеологической работы, культуры и по делам молодежи Ивьевского районного исполнительного комитета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565 000,00</w:t>
            </w:r>
          </w:p>
        </w:tc>
      </w:tr>
      <w:tr w:rsidR="00AA0CA4">
        <w:trPr>
          <w:trHeight w:val="240"/>
        </w:trPr>
        <w:tc>
          <w:tcPr>
            <w:tcW w:w="1440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5.5. подпрограмма 9 «Обеспечение функционирования системы образования Республики Беларусь»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742 131,14</w:t>
            </w:r>
          </w:p>
        </w:tc>
      </w:tr>
      <w:tr w:rsidR="00AA0CA4">
        <w:trPr>
          <w:trHeight w:val="240"/>
        </w:trPr>
        <w:tc>
          <w:tcPr>
            <w:tcW w:w="1440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35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Образование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533 220,54</w:t>
            </w:r>
          </w:p>
        </w:tc>
      </w:tr>
      <w:tr w:rsidR="00AA0CA4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Отдел образования, спорта и туризма Ивьевского районного исполнительного комитета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533 220,54</w:t>
            </w:r>
          </w:p>
        </w:tc>
      </w:tr>
      <w:tr w:rsidR="00AA0CA4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Социальная политика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208 910,60</w:t>
            </w:r>
          </w:p>
        </w:tc>
      </w:tr>
      <w:tr w:rsidR="00AA0CA4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Отдел образования, спорта и туризма Ивьевского районного исполнительного комитета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208 910,60</w:t>
            </w:r>
          </w:p>
        </w:tc>
      </w:tr>
      <w:tr w:rsidR="00AA0CA4">
        <w:trPr>
          <w:trHeight w:val="240"/>
        </w:trPr>
        <w:tc>
          <w:tcPr>
            <w:tcW w:w="144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5.6. подпрограмма 11 «Молодежная политика»</w:t>
            </w:r>
          </w:p>
        </w:tc>
        <w:tc>
          <w:tcPr>
            <w:tcW w:w="1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Социальная политика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2 000,00</w:t>
            </w:r>
          </w:p>
        </w:tc>
      </w:tr>
      <w:tr w:rsidR="00AA0CA4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Отдел идеологической работы, культуры и по делам молодежи Ивьевского районного исполнительного комитета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2 000,00</w:t>
            </w:r>
          </w:p>
        </w:tc>
      </w:tr>
      <w:tr w:rsidR="00AA0CA4">
        <w:trPr>
          <w:trHeight w:val="240"/>
        </w:trPr>
        <w:tc>
          <w:tcPr>
            <w:tcW w:w="14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6. Государственная программа развития физической культуры и спорта в Республике Беларусь на 2016–2020 годы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Постановление Совета Министров Республики Беларусь от 12 апреля 2016 г. № 303 (Национальный правовой Интернет-портал Республики Беларусь, 19.04.2016, 5/41961)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111 883,00</w:t>
            </w:r>
          </w:p>
        </w:tc>
      </w:tr>
      <w:tr w:rsidR="00AA0CA4">
        <w:trPr>
          <w:trHeight w:val="240"/>
        </w:trPr>
        <w:tc>
          <w:tcPr>
            <w:tcW w:w="144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6.1. подпрограмма 2 «Подготовка спортивного резерва, физкультурно-оздоровительная, спортивно-массовая работа»</w:t>
            </w:r>
          </w:p>
        </w:tc>
        <w:tc>
          <w:tcPr>
            <w:tcW w:w="1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111 883,00</w:t>
            </w:r>
          </w:p>
        </w:tc>
      </w:tr>
      <w:tr w:rsidR="00AA0CA4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 xml:space="preserve">Отдел образования, спорта </w:t>
            </w:r>
            <w:r>
              <w:lastRenderedPageBreak/>
              <w:t>и туризма Ивьевского районного исполнительного комитета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lastRenderedPageBreak/>
              <w:t>111 883,00</w:t>
            </w:r>
          </w:p>
        </w:tc>
      </w:tr>
      <w:tr w:rsidR="00AA0CA4">
        <w:trPr>
          <w:trHeight w:val="240"/>
        </w:trPr>
        <w:tc>
          <w:tcPr>
            <w:tcW w:w="14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lastRenderedPageBreak/>
              <w:t>7. Государственная программа «Строительство жилья» на 2016–2020 годы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Постановление Совета Министров Республики Беларусь от 21 апреля 2016 г. № 325 (Национальный правовой Интернет-портал Республики Беларусь, 04.05.2016, 5/42009)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17 439,00</w:t>
            </w:r>
          </w:p>
        </w:tc>
      </w:tr>
      <w:tr w:rsidR="00AA0CA4">
        <w:trPr>
          <w:trHeight w:val="240"/>
        </w:trPr>
        <w:tc>
          <w:tcPr>
            <w:tcW w:w="144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7.1. подпрограмма 1 «Строительство жилых домов»</w:t>
            </w:r>
          </w:p>
        </w:tc>
        <w:tc>
          <w:tcPr>
            <w:tcW w:w="1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Социальная политика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17 439,00</w:t>
            </w:r>
          </w:p>
        </w:tc>
      </w:tr>
      <w:tr w:rsidR="00AA0CA4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17 439,00</w:t>
            </w:r>
          </w:p>
        </w:tc>
      </w:tr>
      <w:tr w:rsidR="00AA0CA4">
        <w:trPr>
          <w:trHeight w:val="240"/>
        </w:trPr>
        <w:tc>
          <w:tcPr>
            <w:tcW w:w="14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8. Государственная программа развития транспортного комплекса Республики Беларусь на 2016–2020 годы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Постановление Совета Министров Республики Беларусь от 28 апреля 2016 г. № 345 (Национальный правовой Интернет-портал Республики Беларусь, 07.05.2016, 5/42042)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156 200,00</w:t>
            </w:r>
          </w:p>
        </w:tc>
      </w:tr>
      <w:tr w:rsidR="00AA0CA4">
        <w:trPr>
          <w:trHeight w:val="240"/>
        </w:trPr>
        <w:tc>
          <w:tcPr>
            <w:tcW w:w="144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8.1. подпрограмма 2 «Развитие автомобильного, городского электрического транспорта и метрополитена Республики Беларусь»</w:t>
            </w:r>
          </w:p>
        </w:tc>
        <w:tc>
          <w:tcPr>
            <w:tcW w:w="1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156 200,00</w:t>
            </w:r>
          </w:p>
        </w:tc>
      </w:tr>
      <w:tr w:rsidR="00AA0CA4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156 200,00</w:t>
            </w:r>
          </w:p>
        </w:tc>
      </w:tr>
      <w:tr w:rsidR="00AA0CA4">
        <w:trPr>
          <w:trHeight w:val="240"/>
        </w:trPr>
        <w:tc>
          <w:tcPr>
            <w:tcW w:w="14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9. Государственная программа «Комфортное жилье и благоприятная среда» на 2016–2020 годы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Постановление Совета Министров Республики Беларусь от 21 апреля 2016 г. № 326 (Национальный правовой Интернет-портал Республики Беларусь, 19.05.2016, 5/42062)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2 236 619,68</w:t>
            </w:r>
          </w:p>
        </w:tc>
      </w:tr>
      <w:tr w:rsidR="00AA0CA4">
        <w:trPr>
          <w:trHeight w:val="240"/>
        </w:trPr>
        <w:tc>
          <w:tcPr>
            <w:tcW w:w="1440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9.1. подпрограмма 1 «Обеспечение качества и доступности услуг»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1 853 475,68</w:t>
            </w:r>
          </w:p>
        </w:tc>
      </w:tr>
      <w:tr w:rsidR="00AA0CA4">
        <w:trPr>
          <w:trHeight w:val="240"/>
        </w:trPr>
        <w:tc>
          <w:tcPr>
            <w:tcW w:w="1440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35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1 295 804,00</w:t>
            </w:r>
          </w:p>
        </w:tc>
      </w:tr>
      <w:tr w:rsidR="00AA0CA4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1 295 804,00</w:t>
            </w:r>
          </w:p>
        </w:tc>
      </w:tr>
      <w:tr w:rsidR="00AA0CA4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557 656,00</w:t>
            </w:r>
          </w:p>
        </w:tc>
      </w:tr>
      <w:tr w:rsidR="00AA0CA4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557 656,00</w:t>
            </w:r>
          </w:p>
        </w:tc>
      </w:tr>
      <w:tr w:rsidR="00AA0CA4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Социальная политика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15,68</w:t>
            </w:r>
          </w:p>
        </w:tc>
      </w:tr>
      <w:tr w:rsidR="00AA0CA4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15,68</w:t>
            </w:r>
          </w:p>
        </w:tc>
      </w:tr>
      <w:tr w:rsidR="00AA0CA4">
        <w:trPr>
          <w:trHeight w:val="240"/>
        </w:trPr>
        <w:tc>
          <w:tcPr>
            <w:tcW w:w="144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9.2. подпрограмма 3 «Ремонт жилищного фонда»</w:t>
            </w:r>
          </w:p>
        </w:tc>
        <w:tc>
          <w:tcPr>
            <w:tcW w:w="1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383 144,00</w:t>
            </w:r>
          </w:p>
        </w:tc>
      </w:tr>
      <w:tr w:rsidR="00AA0CA4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383 144,00</w:t>
            </w:r>
          </w:p>
        </w:tc>
      </w:tr>
      <w:tr w:rsidR="00AA0CA4">
        <w:trPr>
          <w:trHeight w:val="240"/>
        </w:trPr>
        <w:tc>
          <w:tcPr>
            <w:tcW w:w="1440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 xml:space="preserve">10. Государственная программа развития аграрного </w:t>
            </w:r>
            <w:r>
              <w:lastRenderedPageBreak/>
              <w:t>бизнеса в Республике Беларусь на 2016–2020 годы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lastRenderedPageBreak/>
              <w:t xml:space="preserve">Постановление Совета Министров Республики </w:t>
            </w:r>
            <w:r>
              <w:lastRenderedPageBreak/>
              <w:t>Беларусь от 11 марта 2016 г. № 196 (Национальный правовой Интернет-портал Республики Беларусь, 26.03.2016, 5/41842)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lastRenderedPageBreak/>
              <w:t> 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500 953,40</w:t>
            </w:r>
          </w:p>
        </w:tc>
      </w:tr>
      <w:tr w:rsidR="00AA0CA4">
        <w:trPr>
          <w:trHeight w:val="240"/>
        </w:trPr>
        <w:tc>
          <w:tcPr>
            <w:tcW w:w="1440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lastRenderedPageBreak/>
              <w:t> </w:t>
            </w:r>
          </w:p>
        </w:tc>
        <w:tc>
          <w:tcPr>
            <w:tcW w:w="1353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500 953,40</w:t>
            </w:r>
          </w:p>
        </w:tc>
      </w:tr>
      <w:tr w:rsidR="00AA0CA4">
        <w:trPr>
          <w:trHeight w:val="240"/>
        </w:trPr>
        <w:tc>
          <w:tcPr>
            <w:tcW w:w="1440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3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Управление сельского хозяйства и продовольствия Ивьевского районного исполнительного комитета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500 953,40</w:t>
            </w:r>
          </w:p>
        </w:tc>
      </w:tr>
      <w:tr w:rsidR="00AA0CA4">
        <w:trPr>
          <w:trHeight w:val="240"/>
        </w:trPr>
        <w:tc>
          <w:tcPr>
            <w:tcW w:w="1440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11. Государственная программа «Охрана окружающей среды и устойчивое использование природных ресурсов» на 2016–2020 годы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Постановление Совета Министров Республики Беларусь от 17 марта 2016 г. № 205 (Национальный правовой Интернет-портал Республики Беларусь, 24.03.2016, 5/41827)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19 287,00</w:t>
            </w:r>
          </w:p>
        </w:tc>
      </w:tr>
      <w:tr w:rsidR="00AA0CA4">
        <w:trPr>
          <w:trHeight w:val="240"/>
        </w:trPr>
        <w:tc>
          <w:tcPr>
            <w:tcW w:w="1440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353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19 287,00</w:t>
            </w:r>
          </w:p>
        </w:tc>
      </w:tr>
      <w:tr w:rsidR="00AA0CA4">
        <w:trPr>
          <w:trHeight w:val="240"/>
        </w:trPr>
        <w:tc>
          <w:tcPr>
            <w:tcW w:w="1440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3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Управление сельского хозяйства и продовольствия Ивьевского районного исполнительного комитета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19 287,00</w:t>
            </w:r>
          </w:p>
        </w:tc>
      </w:tr>
      <w:tr w:rsidR="00AA0CA4">
        <w:trPr>
          <w:trHeight w:val="240"/>
        </w:trPr>
        <w:tc>
          <w:tcPr>
            <w:tcW w:w="14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12. Государственная программа «Беларусь гостеприимная» на 2016–2020 годы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Постановление Совета Министров Республики Беларусь от 23 марта 2016 г. № 232 (Национальный правовой Интернет-портал Республики Беларусь, 30.03.2016, 5/41876)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1 200,00</w:t>
            </w:r>
          </w:p>
        </w:tc>
      </w:tr>
      <w:tr w:rsidR="00AA0CA4">
        <w:trPr>
          <w:trHeight w:val="240"/>
        </w:trPr>
        <w:tc>
          <w:tcPr>
            <w:tcW w:w="144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12.1. подпрограмма 2 «Маркетинг туристических услуг»</w:t>
            </w:r>
          </w:p>
        </w:tc>
        <w:tc>
          <w:tcPr>
            <w:tcW w:w="1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 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1 200,00</w:t>
            </w:r>
          </w:p>
        </w:tc>
      </w:tr>
      <w:tr w:rsidR="00AA0CA4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A4" w:rsidRDefault="00AA0CA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Отдел образования, спорта и туризма Ивьевского районного исполнительного комитета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  <w:jc w:val="right"/>
            </w:pPr>
            <w:r>
              <w:t>1 200,00</w:t>
            </w:r>
            <w:r>
              <w:rPr>
                <w:rStyle w:val="rednoun"/>
              </w:rPr>
              <w:t>»</w:t>
            </w:r>
            <w:r>
              <w:t>;</w:t>
            </w:r>
          </w:p>
        </w:tc>
      </w:tr>
    </w:tbl>
    <w:p w:rsidR="00AA0CA4" w:rsidRDefault="00AA0CA4">
      <w:pPr>
        <w:pStyle w:val="newncpi"/>
      </w:pPr>
      <w:r>
        <w:t> </w:t>
      </w:r>
    </w:p>
    <w:p w:rsidR="00AA0CA4" w:rsidRDefault="00AA0CA4">
      <w:pPr>
        <w:pStyle w:val="underpoint"/>
      </w:pPr>
      <w:r>
        <w:t>1.6. приложение 6 к решению изложить в новой редакции:</w:t>
      </w:r>
    </w:p>
    <w:p w:rsidR="00AA0CA4" w:rsidRDefault="00AA0CA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8"/>
        <w:gridCol w:w="2350"/>
      </w:tblGrid>
      <w:tr w:rsidR="00AA0CA4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append1"/>
            </w:pPr>
            <w:r>
              <w:rPr>
                <w:rStyle w:val="rednoun"/>
              </w:rPr>
              <w:t>«</w:t>
            </w:r>
            <w:r>
              <w:t>Приложение 6</w:t>
            </w:r>
          </w:p>
          <w:p w:rsidR="00AA0CA4" w:rsidRDefault="00AA0CA4">
            <w:pPr>
              <w:pStyle w:val="append"/>
            </w:pPr>
            <w:r>
              <w:t>к решению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28.12.2015 № 69</w:t>
            </w:r>
            <w:r>
              <w:br/>
              <w:t>(в редакции решения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29.12.2016 № 110)</w:t>
            </w:r>
          </w:p>
        </w:tc>
      </w:tr>
    </w:tbl>
    <w:p w:rsidR="00AA0CA4" w:rsidRDefault="00AA0CA4">
      <w:pPr>
        <w:pStyle w:val="titlep"/>
      </w:pPr>
      <w:r>
        <w:t>Дотации, передаваемые бюджетам первичного уровня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89"/>
        <w:gridCol w:w="1709"/>
      </w:tblGrid>
      <w:tr w:rsidR="00AA0CA4">
        <w:trPr>
          <w:trHeight w:val="240"/>
        </w:trPr>
        <w:tc>
          <w:tcPr>
            <w:tcW w:w="4091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A0CA4" w:rsidRDefault="00AA0CA4">
            <w:pPr>
              <w:pStyle w:val="table10"/>
              <w:jc w:val="center"/>
            </w:pPr>
            <w:r>
              <w:t>Наименование бюджета первичного уровня</w:t>
            </w:r>
          </w:p>
        </w:tc>
        <w:tc>
          <w:tcPr>
            <w:tcW w:w="909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A0CA4" w:rsidRDefault="00AA0CA4">
            <w:pPr>
              <w:pStyle w:val="table10"/>
              <w:jc w:val="center"/>
            </w:pPr>
            <w:r>
              <w:t>Сумма дотации, рублей</w:t>
            </w:r>
          </w:p>
        </w:tc>
      </w:tr>
      <w:tr w:rsidR="00AA0CA4">
        <w:trPr>
          <w:trHeight w:val="240"/>
        </w:trPr>
        <w:tc>
          <w:tcPr>
            <w:tcW w:w="40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Бакштовский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30 920,00</w:t>
            </w:r>
          </w:p>
        </w:tc>
      </w:tr>
      <w:tr w:rsidR="00AA0CA4">
        <w:trPr>
          <w:trHeight w:val="240"/>
        </w:trPr>
        <w:tc>
          <w:tcPr>
            <w:tcW w:w="40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Гераненский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50 947,40</w:t>
            </w:r>
          </w:p>
        </w:tc>
      </w:tr>
      <w:tr w:rsidR="00AA0CA4">
        <w:trPr>
          <w:trHeight w:val="240"/>
        </w:trPr>
        <w:tc>
          <w:tcPr>
            <w:tcW w:w="40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Ивьевский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36 070,00</w:t>
            </w:r>
          </w:p>
        </w:tc>
      </w:tr>
      <w:tr w:rsidR="00AA0CA4">
        <w:trPr>
          <w:trHeight w:val="240"/>
        </w:trPr>
        <w:tc>
          <w:tcPr>
            <w:tcW w:w="40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Лаздунский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32 960,00</w:t>
            </w:r>
          </w:p>
        </w:tc>
      </w:tr>
      <w:tr w:rsidR="00AA0CA4">
        <w:trPr>
          <w:trHeight w:val="240"/>
        </w:trPr>
        <w:tc>
          <w:tcPr>
            <w:tcW w:w="40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Лелюкинский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32 570,00</w:t>
            </w:r>
          </w:p>
        </w:tc>
      </w:tr>
      <w:tr w:rsidR="00AA0CA4">
        <w:trPr>
          <w:trHeight w:val="240"/>
        </w:trPr>
        <w:tc>
          <w:tcPr>
            <w:tcW w:w="40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Липнишковский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41 841,10</w:t>
            </w:r>
          </w:p>
        </w:tc>
      </w:tr>
      <w:tr w:rsidR="00AA0CA4">
        <w:trPr>
          <w:trHeight w:val="240"/>
        </w:trPr>
        <w:tc>
          <w:tcPr>
            <w:tcW w:w="40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Моринский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37 240,00</w:t>
            </w:r>
          </w:p>
        </w:tc>
      </w:tr>
      <w:tr w:rsidR="00AA0CA4">
        <w:trPr>
          <w:trHeight w:val="240"/>
        </w:trPr>
        <w:tc>
          <w:tcPr>
            <w:tcW w:w="40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Субботникский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38 111,00</w:t>
            </w:r>
          </w:p>
        </w:tc>
      </w:tr>
      <w:tr w:rsidR="00AA0CA4">
        <w:trPr>
          <w:trHeight w:val="240"/>
        </w:trPr>
        <w:tc>
          <w:tcPr>
            <w:tcW w:w="40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lastRenderedPageBreak/>
              <w:t>Трабский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44 736,90</w:t>
            </w:r>
          </w:p>
        </w:tc>
      </w:tr>
      <w:tr w:rsidR="00AA0CA4">
        <w:trPr>
          <w:trHeight w:val="240"/>
        </w:trPr>
        <w:tc>
          <w:tcPr>
            <w:tcW w:w="40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Эйгердовский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28 240,00</w:t>
            </w:r>
          </w:p>
        </w:tc>
      </w:tr>
      <w:tr w:rsidR="00AA0CA4">
        <w:trPr>
          <w:trHeight w:val="240"/>
        </w:trPr>
        <w:tc>
          <w:tcPr>
            <w:tcW w:w="40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Юратишковский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40 805,40</w:t>
            </w:r>
          </w:p>
        </w:tc>
      </w:tr>
      <w:tr w:rsidR="00AA0CA4">
        <w:trPr>
          <w:trHeight w:val="240"/>
        </w:trPr>
        <w:tc>
          <w:tcPr>
            <w:tcW w:w="4091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0CA4" w:rsidRDefault="00AA0CA4">
            <w:pPr>
              <w:pStyle w:val="table10"/>
            </w:pPr>
            <w:r>
              <w:t>ВСЕГО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table10"/>
              <w:jc w:val="right"/>
            </w:pPr>
            <w:r>
              <w:t>414 441,80</w:t>
            </w:r>
            <w:r>
              <w:rPr>
                <w:rStyle w:val="rednoun"/>
              </w:rPr>
              <w:t>»</w:t>
            </w:r>
            <w:r>
              <w:t>.</w:t>
            </w:r>
          </w:p>
        </w:tc>
      </w:tr>
    </w:tbl>
    <w:p w:rsidR="00AA0CA4" w:rsidRDefault="00AA0CA4">
      <w:pPr>
        <w:pStyle w:val="newncpi"/>
      </w:pPr>
      <w:r>
        <w:t> </w:t>
      </w:r>
    </w:p>
    <w:p w:rsidR="00AA0CA4" w:rsidRDefault="00AA0CA4">
      <w:pPr>
        <w:pStyle w:val="point"/>
      </w:pPr>
      <w:r>
        <w:t>2. Настоящее решение вступает в силу после его официального опубликования.</w:t>
      </w:r>
    </w:p>
    <w:p w:rsidR="00AA0CA4" w:rsidRDefault="00AA0CA4">
      <w:pPr>
        <w:pStyle w:val="newncpi"/>
      </w:pPr>
      <w:r>
        <w:t> 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3"/>
        <w:gridCol w:w="4696"/>
      </w:tblGrid>
      <w:tr w:rsidR="00AA0CA4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CA4" w:rsidRDefault="00AA0CA4">
            <w:pPr>
              <w:pStyle w:val="newncpi0"/>
              <w:jc w:val="right"/>
            </w:pPr>
            <w:r>
              <w:rPr>
                <w:rStyle w:val="pers"/>
              </w:rPr>
              <w:t>А.А.Хвасько</w:t>
            </w:r>
          </w:p>
        </w:tc>
      </w:tr>
    </w:tbl>
    <w:p w:rsidR="00AA0CA4" w:rsidRDefault="00AA0CA4">
      <w:pPr>
        <w:pStyle w:val="newncpi"/>
      </w:pPr>
      <w:r>
        <w:t> </w:t>
      </w:r>
    </w:p>
    <w:p w:rsidR="003C3DFD" w:rsidRDefault="003C3DFD"/>
    <w:sectPr w:rsidR="003C3DFD" w:rsidSect="00AA0C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20" w:bottom="1134" w:left="1400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66A" w:rsidRDefault="00A5366A" w:rsidP="00AA0CA4">
      <w:r>
        <w:separator/>
      </w:r>
    </w:p>
  </w:endnote>
  <w:endnote w:type="continuationSeparator" w:id="0">
    <w:p w:rsidR="00A5366A" w:rsidRDefault="00A5366A" w:rsidP="00AA0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CA4" w:rsidRDefault="00AA0CA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CA4" w:rsidRDefault="00AA0CA4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W w:w="0" w:type="auto"/>
      <w:tblLook w:val="04A0" w:firstRow="1" w:lastRow="0" w:firstColumn="1" w:lastColumn="0" w:noHBand="0" w:noVBand="1"/>
    </w:tblPr>
    <w:tblGrid>
      <w:gridCol w:w="900"/>
      <w:gridCol w:w="7202"/>
      <w:gridCol w:w="1500"/>
    </w:tblGrid>
    <w:tr w:rsidR="00AA0CA4" w:rsidTr="00AA0CA4">
      <w:trPr>
        <w:trHeight w:val="400"/>
      </w:trPr>
      <w:tc>
        <w:tcPr>
          <w:tcW w:w="900" w:type="dxa"/>
          <w:vMerge w:val="restart"/>
          <w:shd w:val="clear" w:color="auto" w:fill="auto"/>
        </w:tcPr>
        <w:p w:rsidR="00AA0CA4" w:rsidRDefault="00AA0CA4">
          <w:pPr>
            <w:pStyle w:val="a7"/>
          </w:pPr>
          <w:r>
            <w:rPr>
              <w:noProof/>
              <w:lang w:eastAsia="ru-RU"/>
            </w:rPr>
            <w:drawing>
              <wp:inline distT="0" distB="0" distL="0" distR="0" wp14:anchorId="7527F44A" wp14:editId="18D3BA7D">
                <wp:extent cx="333375" cy="438150"/>
                <wp:effectExtent l="0" t="0" r="952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3375" cy="4381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02" w:type="dxa"/>
          <w:shd w:val="clear" w:color="auto" w:fill="auto"/>
        </w:tcPr>
        <w:p w:rsidR="00AA0CA4" w:rsidRPr="00AA0CA4" w:rsidRDefault="00AA0CA4">
          <w:pPr>
            <w:pStyle w:val="a7"/>
            <w:rPr>
              <w:sz w:val="24"/>
            </w:rPr>
          </w:pPr>
          <w:r>
            <w:rPr>
              <w:sz w:val="24"/>
            </w:rPr>
            <w:t>ИПС «ЭТАЛОН» версия 6.7</w:t>
          </w:r>
        </w:p>
      </w:tc>
      <w:tc>
        <w:tcPr>
          <w:tcW w:w="1500" w:type="dxa"/>
          <w:shd w:val="clear" w:color="auto" w:fill="auto"/>
        </w:tcPr>
        <w:p w:rsidR="00AA0CA4" w:rsidRPr="00AA0CA4" w:rsidRDefault="00AA0CA4" w:rsidP="00AA0CA4">
          <w:pPr>
            <w:pStyle w:val="a7"/>
            <w:jc w:val="right"/>
            <w:rPr>
              <w:sz w:val="24"/>
            </w:rPr>
          </w:pPr>
          <w:r>
            <w:rPr>
              <w:sz w:val="24"/>
            </w:rPr>
            <w:t>28.04.2017</w:t>
          </w:r>
        </w:p>
      </w:tc>
    </w:tr>
    <w:tr w:rsidR="00AA0CA4" w:rsidTr="00AA0CA4">
      <w:tc>
        <w:tcPr>
          <w:tcW w:w="900" w:type="dxa"/>
          <w:vMerge/>
        </w:tcPr>
        <w:p w:rsidR="00AA0CA4" w:rsidRDefault="00AA0CA4">
          <w:pPr>
            <w:pStyle w:val="a7"/>
          </w:pPr>
        </w:p>
      </w:tc>
      <w:tc>
        <w:tcPr>
          <w:tcW w:w="7202" w:type="dxa"/>
        </w:tcPr>
        <w:p w:rsidR="00AA0CA4" w:rsidRPr="00AA0CA4" w:rsidRDefault="00AA0CA4">
          <w:pPr>
            <w:pStyle w:val="a7"/>
            <w:rPr>
              <w:i/>
              <w:sz w:val="24"/>
            </w:rPr>
          </w:pPr>
          <w:r>
            <w:rPr>
              <w:i/>
              <w:sz w:val="24"/>
            </w:rPr>
            <w:t>Национальный центр правовой информации Республики Беларусь</w:t>
          </w:r>
        </w:p>
      </w:tc>
      <w:tc>
        <w:tcPr>
          <w:tcW w:w="1500" w:type="dxa"/>
        </w:tcPr>
        <w:p w:rsidR="00AA0CA4" w:rsidRDefault="00AA0CA4">
          <w:pPr>
            <w:pStyle w:val="a7"/>
          </w:pPr>
        </w:p>
      </w:tc>
    </w:tr>
  </w:tbl>
  <w:p w:rsidR="00AA0CA4" w:rsidRDefault="00AA0CA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66A" w:rsidRDefault="00A5366A" w:rsidP="00AA0CA4">
      <w:r>
        <w:separator/>
      </w:r>
    </w:p>
  </w:footnote>
  <w:footnote w:type="continuationSeparator" w:id="0">
    <w:p w:rsidR="00A5366A" w:rsidRDefault="00A5366A" w:rsidP="00AA0C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CA4" w:rsidRDefault="00AA0CA4" w:rsidP="009D52B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A0CA4" w:rsidRDefault="00AA0CA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CA4" w:rsidRPr="00AA0CA4" w:rsidRDefault="00AA0CA4" w:rsidP="009D52B7">
    <w:pPr>
      <w:pStyle w:val="a5"/>
      <w:framePr w:wrap="around" w:vAnchor="text" w:hAnchor="margin" w:xAlign="center" w:y="1"/>
      <w:rPr>
        <w:rStyle w:val="a9"/>
        <w:sz w:val="24"/>
      </w:rPr>
    </w:pPr>
    <w:r w:rsidRPr="00AA0CA4">
      <w:rPr>
        <w:rStyle w:val="a9"/>
        <w:sz w:val="24"/>
      </w:rPr>
      <w:fldChar w:fldCharType="begin"/>
    </w:r>
    <w:r w:rsidRPr="00AA0CA4">
      <w:rPr>
        <w:rStyle w:val="a9"/>
        <w:sz w:val="24"/>
      </w:rPr>
      <w:instrText xml:space="preserve">PAGE  </w:instrText>
    </w:r>
    <w:r w:rsidRPr="00AA0CA4">
      <w:rPr>
        <w:rStyle w:val="a9"/>
        <w:sz w:val="24"/>
      </w:rPr>
      <w:fldChar w:fldCharType="separate"/>
    </w:r>
    <w:r>
      <w:rPr>
        <w:rStyle w:val="a9"/>
        <w:noProof/>
        <w:sz w:val="24"/>
      </w:rPr>
      <w:t>13</w:t>
    </w:r>
    <w:r w:rsidRPr="00AA0CA4">
      <w:rPr>
        <w:rStyle w:val="a9"/>
        <w:sz w:val="24"/>
      </w:rPr>
      <w:fldChar w:fldCharType="end"/>
    </w:r>
  </w:p>
  <w:p w:rsidR="00AA0CA4" w:rsidRPr="00AA0CA4" w:rsidRDefault="00AA0CA4">
    <w:pPr>
      <w:pStyle w:val="a5"/>
      <w:rPr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CA4" w:rsidRDefault="00AA0CA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CA4"/>
    <w:rsid w:val="003C3DFD"/>
    <w:rsid w:val="00A5366A"/>
    <w:rsid w:val="00AA0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0CA4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AA0CA4"/>
    <w:rPr>
      <w:color w:val="154C94"/>
      <w:u w:val="single"/>
    </w:rPr>
  </w:style>
  <w:style w:type="paragraph" w:customStyle="1" w:styleId="part">
    <w:name w:val="part"/>
    <w:basedOn w:val="a"/>
    <w:rsid w:val="00AA0CA4"/>
    <w:pPr>
      <w:spacing w:before="240" w:after="240"/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article">
    <w:name w:val="article"/>
    <w:basedOn w:val="a"/>
    <w:rsid w:val="00AA0CA4"/>
    <w:pPr>
      <w:spacing w:before="240" w:after="240"/>
      <w:ind w:left="1922" w:hanging="1355"/>
    </w:pPr>
    <w:rPr>
      <w:rFonts w:eastAsia="Times New Roman"/>
      <w:b/>
      <w:bCs/>
      <w:sz w:val="24"/>
      <w:szCs w:val="24"/>
      <w:lang w:eastAsia="ru-RU"/>
    </w:rPr>
  </w:style>
  <w:style w:type="paragraph" w:customStyle="1" w:styleId="title">
    <w:name w:val="title"/>
    <w:basedOn w:val="a"/>
    <w:rsid w:val="00AA0CA4"/>
    <w:pPr>
      <w:spacing w:before="240" w:after="240"/>
      <w:ind w:right="2268"/>
    </w:pPr>
    <w:rPr>
      <w:rFonts w:eastAsia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AA0CA4"/>
    <w:pPr>
      <w:spacing w:before="240" w:after="240"/>
      <w:ind w:right="2268"/>
    </w:pPr>
    <w:rPr>
      <w:rFonts w:eastAsia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AA0CA4"/>
    <w:pPr>
      <w:jc w:val="center"/>
    </w:pPr>
    <w:rPr>
      <w:rFonts w:eastAsiaTheme="minorEastAsia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AA0CA4"/>
    <w:pPr>
      <w:spacing w:before="240" w:after="240"/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AA0CA4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AA0CA4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AA0CA4"/>
    <w:pPr>
      <w:spacing w:after="28"/>
    </w:pPr>
    <w:rPr>
      <w:rFonts w:eastAsiaTheme="minorEastAsia"/>
      <w:sz w:val="22"/>
      <w:szCs w:val="22"/>
      <w:lang w:eastAsia="ru-RU"/>
    </w:rPr>
  </w:style>
  <w:style w:type="paragraph" w:customStyle="1" w:styleId="razdel">
    <w:name w:val="razdel"/>
    <w:basedOn w:val="a"/>
    <w:rsid w:val="00AA0CA4"/>
    <w:pPr>
      <w:ind w:firstLine="567"/>
      <w:jc w:val="center"/>
    </w:pPr>
    <w:rPr>
      <w:rFonts w:eastAsiaTheme="minorEastAsia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AA0CA4"/>
    <w:pPr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AA0CA4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AA0CA4"/>
    <w:pPr>
      <w:jc w:val="right"/>
    </w:pPr>
    <w:rPr>
      <w:rFonts w:eastAsiaTheme="minorEastAsia"/>
      <w:sz w:val="22"/>
      <w:szCs w:val="22"/>
      <w:lang w:eastAsia="ru-RU"/>
    </w:rPr>
  </w:style>
  <w:style w:type="paragraph" w:customStyle="1" w:styleId="titleu">
    <w:name w:val="titleu"/>
    <w:basedOn w:val="a"/>
    <w:rsid w:val="00AA0CA4"/>
    <w:pPr>
      <w:spacing w:before="240" w:after="240"/>
    </w:pPr>
    <w:rPr>
      <w:rFonts w:eastAsiaTheme="minorEastAsia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AA0CA4"/>
    <w:pPr>
      <w:spacing w:before="240"/>
      <w:jc w:val="center"/>
    </w:pPr>
    <w:rPr>
      <w:rFonts w:eastAsiaTheme="minorEastAsia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AA0CA4"/>
    <w:rPr>
      <w:rFonts w:eastAsiaTheme="minorEastAsia"/>
      <w:sz w:val="20"/>
      <w:szCs w:val="20"/>
      <w:lang w:eastAsia="ru-RU"/>
    </w:rPr>
  </w:style>
  <w:style w:type="paragraph" w:customStyle="1" w:styleId="point">
    <w:name w:val="point"/>
    <w:basedOn w:val="a"/>
    <w:rsid w:val="00AA0CA4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underpoint">
    <w:name w:val="underpoint"/>
    <w:basedOn w:val="a"/>
    <w:rsid w:val="00AA0CA4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signed">
    <w:name w:val="signed"/>
    <w:basedOn w:val="a"/>
    <w:rsid w:val="00AA0CA4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odobren">
    <w:name w:val="odobren"/>
    <w:basedOn w:val="a"/>
    <w:rsid w:val="00AA0CA4"/>
    <w:rPr>
      <w:rFonts w:eastAsiaTheme="minorEastAsia"/>
      <w:sz w:val="22"/>
      <w:szCs w:val="22"/>
      <w:lang w:eastAsia="ru-RU"/>
    </w:rPr>
  </w:style>
  <w:style w:type="paragraph" w:customStyle="1" w:styleId="odobren1">
    <w:name w:val="odobren1"/>
    <w:basedOn w:val="a"/>
    <w:rsid w:val="00AA0CA4"/>
    <w:pPr>
      <w:spacing w:after="120"/>
    </w:pPr>
    <w:rPr>
      <w:rFonts w:eastAsiaTheme="minorEastAsia"/>
      <w:sz w:val="22"/>
      <w:szCs w:val="22"/>
      <w:lang w:eastAsia="ru-RU"/>
    </w:rPr>
  </w:style>
  <w:style w:type="paragraph" w:customStyle="1" w:styleId="comment">
    <w:name w:val="comment"/>
    <w:basedOn w:val="a"/>
    <w:rsid w:val="00AA0CA4"/>
    <w:pPr>
      <w:ind w:firstLine="709"/>
      <w:jc w:val="both"/>
    </w:pPr>
    <w:rPr>
      <w:rFonts w:eastAsiaTheme="minorEastAsia"/>
      <w:sz w:val="20"/>
      <w:szCs w:val="20"/>
      <w:lang w:eastAsia="ru-RU"/>
    </w:rPr>
  </w:style>
  <w:style w:type="paragraph" w:customStyle="1" w:styleId="preamble">
    <w:name w:val="preamble"/>
    <w:basedOn w:val="a"/>
    <w:rsid w:val="00AA0CA4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snoski">
    <w:name w:val="snoski"/>
    <w:basedOn w:val="a"/>
    <w:rsid w:val="00AA0CA4"/>
    <w:pPr>
      <w:ind w:firstLine="567"/>
      <w:jc w:val="both"/>
    </w:pPr>
    <w:rPr>
      <w:rFonts w:eastAsiaTheme="minorEastAsia"/>
      <w:sz w:val="20"/>
      <w:szCs w:val="20"/>
      <w:lang w:eastAsia="ru-RU"/>
    </w:rPr>
  </w:style>
  <w:style w:type="paragraph" w:customStyle="1" w:styleId="snoskiline">
    <w:name w:val="snoskiline"/>
    <w:basedOn w:val="a"/>
    <w:rsid w:val="00AA0CA4"/>
    <w:pPr>
      <w:jc w:val="both"/>
    </w:pPr>
    <w:rPr>
      <w:rFonts w:eastAsiaTheme="minorEastAsia"/>
      <w:sz w:val="20"/>
      <w:szCs w:val="20"/>
      <w:lang w:eastAsia="ru-RU"/>
    </w:rPr>
  </w:style>
  <w:style w:type="paragraph" w:customStyle="1" w:styleId="paragraph">
    <w:name w:val="paragraph"/>
    <w:basedOn w:val="a"/>
    <w:rsid w:val="00AA0CA4"/>
    <w:pPr>
      <w:spacing w:before="240" w:after="240"/>
      <w:ind w:firstLine="567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AA0CA4"/>
    <w:rPr>
      <w:rFonts w:eastAsiaTheme="minorEastAsia"/>
      <w:sz w:val="20"/>
      <w:szCs w:val="20"/>
      <w:lang w:eastAsia="ru-RU"/>
    </w:rPr>
  </w:style>
  <w:style w:type="paragraph" w:customStyle="1" w:styleId="numnrpa">
    <w:name w:val="numnrpa"/>
    <w:basedOn w:val="a"/>
    <w:rsid w:val="00AA0CA4"/>
    <w:rPr>
      <w:rFonts w:eastAsiaTheme="minorEastAsia"/>
      <w:sz w:val="36"/>
      <w:szCs w:val="36"/>
      <w:lang w:eastAsia="ru-RU"/>
    </w:rPr>
  </w:style>
  <w:style w:type="paragraph" w:customStyle="1" w:styleId="append">
    <w:name w:val="append"/>
    <w:basedOn w:val="a"/>
    <w:rsid w:val="00AA0CA4"/>
    <w:rPr>
      <w:rFonts w:eastAsiaTheme="minorEastAsia"/>
      <w:sz w:val="22"/>
      <w:szCs w:val="22"/>
      <w:lang w:eastAsia="ru-RU"/>
    </w:rPr>
  </w:style>
  <w:style w:type="paragraph" w:customStyle="1" w:styleId="prinodobren">
    <w:name w:val="prinodobren"/>
    <w:basedOn w:val="a"/>
    <w:rsid w:val="00AA0CA4"/>
    <w:pPr>
      <w:spacing w:before="240" w:after="240"/>
    </w:pPr>
    <w:rPr>
      <w:rFonts w:eastAsiaTheme="minorEastAsia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AA0CA4"/>
    <w:rPr>
      <w:rFonts w:eastAsiaTheme="minorEastAsia"/>
      <w:sz w:val="24"/>
      <w:szCs w:val="24"/>
      <w:lang w:eastAsia="ru-RU"/>
    </w:rPr>
  </w:style>
  <w:style w:type="paragraph" w:customStyle="1" w:styleId="nonumheader">
    <w:name w:val="nonumheader"/>
    <w:basedOn w:val="a"/>
    <w:rsid w:val="00AA0CA4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AA0CA4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AA0CA4"/>
    <w:pPr>
      <w:ind w:firstLine="1021"/>
      <w:jc w:val="both"/>
    </w:pPr>
    <w:rPr>
      <w:rFonts w:eastAsiaTheme="minorEastAsia"/>
      <w:sz w:val="22"/>
      <w:szCs w:val="22"/>
      <w:lang w:eastAsia="ru-RU"/>
    </w:rPr>
  </w:style>
  <w:style w:type="paragraph" w:customStyle="1" w:styleId="agreedate">
    <w:name w:val="agreedate"/>
    <w:basedOn w:val="a"/>
    <w:rsid w:val="00AA0CA4"/>
    <w:pPr>
      <w:jc w:val="both"/>
    </w:pPr>
    <w:rPr>
      <w:rFonts w:eastAsiaTheme="minorEastAsia"/>
      <w:sz w:val="22"/>
      <w:szCs w:val="22"/>
      <w:lang w:eastAsia="ru-RU"/>
    </w:rPr>
  </w:style>
  <w:style w:type="paragraph" w:customStyle="1" w:styleId="changeadd">
    <w:name w:val="changeadd"/>
    <w:basedOn w:val="a"/>
    <w:rsid w:val="00AA0CA4"/>
    <w:pPr>
      <w:ind w:left="1134"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changei">
    <w:name w:val="changei"/>
    <w:basedOn w:val="a"/>
    <w:rsid w:val="00AA0CA4"/>
    <w:pPr>
      <w:ind w:left="1021"/>
    </w:pPr>
    <w:rPr>
      <w:rFonts w:eastAsiaTheme="minorEastAsia"/>
      <w:sz w:val="24"/>
      <w:szCs w:val="24"/>
      <w:lang w:eastAsia="ru-RU"/>
    </w:rPr>
  </w:style>
  <w:style w:type="paragraph" w:customStyle="1" w:styleId="changeutrs">
    <w:name w:val="changeutrs"/>
    <w:basedOn w:val="a"/>
    <w:rsid w:val="00AA0CA4"/>
    <w:pPr>
      <w:spacing w:after="240"/>
      <w:ind w:left="1134"/>
      <w:jc w:val="both"/>
    </w:pPr>
    <w:rPr>
      <w:rFonts w:eastAsia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AA0CA4"/>
    <w:pPr>
      <w:spacing w:before="240" w:after="240"/>
      <w:ind w:firstLine="567"/>
      <w:jc w:val="center"/>
    </w:pPr>
    <w:rPr>
      <w:rFonts w:eastAsiaTheme="minorEastAsia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AA0CA4"/>
    <w:pPr>
      <w:spacing w:after="28"/>
    </w:pPr>
    <w:rPr>
      <w:rFonts w:eastAsiaTheme="minorEastAsia"/>
      <w:sz w:val="22"/>
      <w:szCs w:val="22"/>
      <w:lang w:eastAsia="ru-RU"/>
    </w:rPr>
  </w:style>
  <w:style w:type="paragraph" w:customStyle="1" w:styleId="cap1">
    <w:name w:val="cap1"/>
    <w:basedOn w:val="a"/>
    <w:rsid w:val="00AA0CA4"/>
    <w:rPr>
      <w:rFonts w:eastAsiaTheme="minorEastAsia"/>
      <w:sz w:val="22"/>
      <w:szCs w:val="22"/>
      <w:lang w:eastAsia="ru-RU"/>
    </w:rPr>
  </w:style>
  <w:style w:type="paragraph" w:customStyle="1" w:styleId="capu1">
    <w:name w:val="capu1"/>
    <w:basedOn w:val="a"/>
    <w:rsid w:val="00AA0CA4"/>
    <w:pPr>
      <w:spacing w:after="120"/>
    </w:pPr>
    <w:rPr>
      <w:rFonts w:eastAsiaTheme="minorEastAsia"/>
      <w:sz w:val="22"/>
      <w:szCs w:val="22"/>
      <w:lang w:eastAsia="ru-RU"/>
    </w:rPr>
  </w:style>
  <w:style w:type="paragraph" w:customStyle="1" w:styleId="newncpi">
    <w:name w:val="newncpi"/>
    <w:basedOn w:val="a"/>
    <w:rsid w:val="00AA0CA4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AA0CA4"/>
    <w:pPr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1">
    <w:name w:val="newncpi1"/>
    <w:basedOn w:val="a"/>
    <w:rsid w:val="00AA0CA4"/>
    <w:pPr>
      <w:ind w:left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edizmeren">
    <w:name w:val="edizmeren"/>
    <w:basedOn w:val="a"/>
    <w:rsid w:val="00AA0CA4"/>
    <w:pPr>
      <w:jc w:val="right"/>
    </w:pPr>
    <w:rPr>
      <w:rFonts w:eastAsiaTheme="minorEastAsia"/>
      <w:sz w:val="20"/>
      <w:szCs w:val="20"/>
      <w:lang w:eastAsia="ru-RU"/>
    </w:rPr>
  </w:style>
  <w:style w:type="paragraph" w:customStyle="1" w:styleId="zagrazdel">
    <w:name w:val="zagrazdel"/>
    <w:basedOn w:val="a"/>
    <w:rsid w:val="00AA0CA4"/>
    <w:pPr>
      <w:spacing w:before="240" w:after="240"/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AA0CA4"/>
    <w:pPr>
      <w:jc w:val="center"/>
    </w:pPr>
    <w:rPr>
      <w:rFonts w:eastAsiaTheme="minorEastAsia"/>
      <w:sz w:val="24"/>
      <w:szCs w:val="24"/>
      <w:lang w:eastAsia="ru-RU"/>
    </w:rPr>
  </w:style>
  <w:style w:type="paragraph" w:customStyle="1" w:styleId="primer">
    <w:name w:val="primer"/>
    <w:basedOn w:val="a"/>
    <w:rsid w:val="00AA0CA4"/>
    <w:pPr>
      <w:ind w:firstLine="567"/>
      <w:jc w:val="both"/>
    </w:pPr>
    <w:rPr>
      <w:rFonts w:eastAsiaTheme="minorEastAsia"/>
      <w:sz w:val="20"/>
      <w:szCs w:val="20"/>
      <w:lang w:eastAsia="ru-RU"/>
    </w:rPr>
  </w:style>
  <w:style w:type="paragraph" w:customStyle="1" w:styleId="withpar">
    <w:name w:val="withpar"/>
    <w:basedOn w:val="a"/>
    <w:rsid w:val="00AA0CA4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withoutpar">
    <w:name w:val="withoutpar"/>
    <w:basedOn w:val="a"/>
    <w:rsid w:val="00AA0CA4"/>
    <w:pPr>
      <w:spacing w:after="60"/>
      <w:jc w:val="both"/>
    </w:pPr>
    <w:rPr>
      <w:rFonts w:eastAsiaTheme="minorEastAsia"/>
      <w:sz w:val="24"/>
      <w:szCs w:val="24"/>
      <w:lang w:eastAsia="ru-RU"/>
    </w:rPr>
  </w:style>
  <w:style w:type="paragraph" w:customStyle="1" w:styleId="undline">
    <w:name w:val="undline"/>
    <w:basedOn w:val="a"/>
    <w:rsid w:val="00AA0CA4"/>
    <w:pPr>
      <w:jc w:val="both"/>
    </w:pPr>
    <w:rPr>
      <w:rFonts w:eastAsiaTheme="minorEastAsia"/>
      <w:sz w:val="20"/>
      <w:szCs w:val="20"/>
      <w:lang w:eastAsia="ru-RU"/>
    </w:rPr>
  </w:style>
  <w:style w:type="paragraph" w:customStyle="1" w:styleId="underline">
    <w:name w:val="underline"/>
    <w:basedOn w:val="a"/>
    <w:rsid w:val="00AA0CA4"/>
    <w:pPr>
      <w:jc w:val="both"/>
    </w:pPr>
    <w:rPr>
      <w:rFonts w:eastAsiaTheme="minorEastAsia"/>
      <w:sz w:val="20"/>
      <w:szCs w:val="20"/>
      <w:lang w:eastAsia="ru-RU"/>
    </w:rPr>
  </w:style>
  <w:style w:type="paragraph" w:customStyle="1" w:styleId="ncpicomment">
    <w:name w:val="ncpicomment"/>
    <w:basedOn w:val="a"/>
    <w:rsid w:val="00AA0CA4"/>
    <w:pPr>
      <w:spacing w:before="120"/>
      <w:ind w:left="1134"/>
      <w:jc w:val="both"/>
    </w:pPr>
    <w:rPr>
      <w:rFonts w:eastAsiaTheme="minorEastAsia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AA0CA4"/>
    <w:pPr>
      <w:ind w:left="1134"/>
      <w:jc w:val="both"/>
    </w:pPr>
    <w:rPr>
      <w:rFonts w:eastAsiaTheme="minorEastAsia"/>
      <w:sz w:val="24"/>
      <w:szCs w:val="24"/>
      <w:lang w:eastAsia="ru-RU"/>
    </w:rPr>
  </w:style>
  <w:style w:type="paragraph" w:customStyle="1" w:styleId="ncpidel">
    <w:name w:val="ncpidel"/>
    <w:basedOn w:val="a"/>
    <w:rsid w:val="00AA0CA4"/>
    <w:pPr>
      <w:ind w:left="1134"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tsifra">
    <w:name w:val="tsifra"/>
    <w:basedOn w:val="a"/>
    <w:rsid w:val="00AA0CA4"/>
    <w:rPr>
      <w:rFonts w:eastAsiaTheme="minorEastAsia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AA0CA4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v">
    <w:name w:val="newncpiv"/>
    <w:basedOn w:val="a"/>
    <w:rsid w:val="00AA0CA4"/>
    <w:pPr>
      <w:ind w:firstLine="567"/>
      <w:jc w:val="both"/>
    </w:pPr>
    <w:rPr>
      <w:rFonts w:eastAsiaTheme="minorEastAsia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AA0CA4"/>
    <w:pPr>
      <w:ind w:firstLine="567"/>
      <w:jc w:val="both"/>
    </w:pPr>
    <w:rPr>
      <w:rFonts w:eastAsiaTheme="minorEastAsia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AA0CA4"/>
    <w:pPr>
      <w:spacing w:before="240" w:after="240"/>
      <w:ind w:firstLine="567"/>
    </w:pPr>
    <w:rPr>
      <w:rFonts w:eastAsiaTheme="minorEastAsia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AA0CA4"/>
    <w:pPr>
      <w:spacing w:before="240" w:after="240"/>
      <w:ind w:firstLine="567"/>
      <w:jc w:val="center"/>
    </w:pPr>
    <w:rPr>
      <w:rFonts w:eastAsiaTheme="minorEastAsia"/>
      <w:caps/>
      <w:sz w:val="22"/>
      <w:szCs w:val="22"/>
      <w:lang w:eastAsia="ru-RU"/>
    </w:rPr>
  </w:style>
  <w:style w:type="paragraph" w:customStyle="1" w:styleId="contenttext">
    <w:name w:val="contenttext"/>
    <w:basedOn w:val="a"/>
    <w:rsid w:val="00AA0CA4"/>
    <w:pPr>
      <w:ind w:left="1134" w:hanging="1134"/>
    </w:pPr>
    <w:rPr>
      <w:rFonts w:eastAsiaTheme="minorEastAsia"/>
      <w:sz w:val="22"/>
      <w:szCs w:val="22"/>
      <w:lang w:eastAsia="ru-RU"/>
    </w:rPr>
  </w:style>
  <w:style w:type="paragraph" w:customStyle="1" w:styleId="gosreg">
    <w:name w:val="gosreg"/>
    <w:basedOn w:val="a"/>
    <w:rsid w:val="00AA0CA4"/>
    <w:pPr>
      <w:jc w:val="both"/>
    </w:pPr>
    <w:rPr>
      <w:rFonts w:eastAsiaTheme="minorEastAsia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AA0CA4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AA0CA4"/>
    <w:pPr>
      <w:spacing w:before="240" w:after="240"/>
    </w:pPr>
    <w:rPr>
      <w:rFonts w:eastAsiaTheme="minorEastAsia"/>
      <w:sz w:val="24"/>
      <w:szCs w:val="24"/>
      <w:lang w:eastAsia="ru-RU"/>
    </w:rPr>
  </w:style>
  <w:style w:type="paragraph" w:customStyle="1" w:styleId="recepient">
    <w:name w:val="recepient"/>
    <w:basedOn w:val="a"/>
    <w:rsid w:val="00AA0CA4"/>
    <w:pPr>
      <w:ind w:left="5103"/>
    </w:pPr>
    <w:rPr>
      <w:rFonts w:eastAsiaTheme="minorEastAsia"/>
      <w:sz w:val="24"/>
      <w:szCs w:val="24"/>
      <w:lang w:eastAsia="ru-RU"/>
    </w:rPr>
  </w:style>
  <w:style w:type="paragraph" w:customStyle="1" w:styleId="doklad">
    <w:name w:val="doklad"/>
    <w:basedOn w:val="a"/>
    <w:rsid w:val="00AA0CA4"/>
    <w:pPr>
      <w:ind w:left="2835"/>
    </w:pPr>
    <w:rPr>
      <w:rFonts w:eastAsiaTheme="minorEastAsia"/>
      <w:sz w:val="24"/>
      <w:szCs w:val="24"/>
      <w:lang w:eastAsia="ru-RU"/>
    </w:rPr>
  </w:style>
  <w:style w:type="paragraph" w:customStyle="1" w:styleId="onpaper">
    <w:name w:val="onpaper"/>
    <w:basedOn w:val="a"/>
    <w:rsid w:val="00AA0CA4"/>
    <w:pPr>
      <w:ind w:firstLine="567"/>
      <w:jc w:val="both"/>
    </w:pPr>
    <w:rPr>
      <w:rFonts w:eastAsiaTheme="minorEastAsia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AA0CA4"/>
    <w:pPr>
      <w:jc w:val="center"/>
    </w:pPr>
    <w:rPr>
      <w:rFonts w:eastAsiaTheme="minorEastAsia"/>
      <w:sz w:val="24"/>
      <w:szCs w:val="24"/>
      <w:lang w:eastAsia="ru-RU"/>
    </w:rPr>
  </w:style>
  <w:style w:type="paragraph" w:customStyle="1" w:styleId="tableblank">
    <w:name w:val="tableblank"/>
    <w:basedOn w:val="a"/>
    <w:rsid w:val="00AA0CA4"/>
    <w:rPr>
      <w:rFonts w:eastAsiaTheme="minorEastAsia"/>
      <w:sz w:val="24"/>
      <w:szCs w:val="24"/>
      <w:lang w:eastAsia="ru-RU"/>
    </w:rPr>
  </w:style>
  <w:style w:type="paragraph" w:customStyle="1" w:styleId="table9">
    <w:name w:val="table9"/>
    <w:basedOn w:val="a"/>
    <w:rsid w:val="00AA0CA4"/>
    <w:rPr>
      <w:rFonts w:eastAsiaTheme="minorEastAsia"/>
      <w:sz w:val="18"/>
      <w:szCs w:val="18"/>
      <w:lang w:eastAsia="ru-RU"/>
    </w:rPr>
  </w:style>
  <w:style w:type="paragraph" w:customStyle="1" w:styleId="table8">
    <w:name w:val="table8"/>
    <w:basedOn w:val="a"/>
    <w:rsid w:val="00AA0CA4"/>
    <w:rPr>
      <w:rFonts w:eastAsiaTheme="minorEastAsia"/>
      <w:sz w:val="16"/>
      <w:szCs w:val="16"/>
      <w:lang w:eastAsia="ru-RU"/>
    </w:rPr>
  </w:style>
  <w:style w:type="paragraph" w:customStyle="1" w:styleId="table7">
    <w:name w:val="table7"/>
    <w:basedOn w:val="a"/>
    <w:rsid w:val="00AA0CA4"/>
    <w:rPr>
      <w:rFonts w:eastAsiaTheme="minorEastAsia"/>
      <w:sz w:val="14"/>
      <w:szCs w:val="14"/>
      <w:lang w:eastAsia="ru-RU"/>
    </w:rPr>
  </w:style>
  <w:style w:type="paragraph" w:customStyle="1" w:styleId="begform">
    <w:name w:val="begform"/>
    <w:basedOn w:val="a"/>
    <w:rsid w:val="00AA0CA4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endform">
    <w:name w:val="endform"/>
    <w:basedOn w:val="a"/>
    <w:rsid w:val="00AA0CA4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AA0CA4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AA0CA4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AA0CA4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AA0CA4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AA0CA4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A0CA4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AA0CA4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AA0CA4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AA0CA4"/>
    <w:rPr>
      <w:rFonts w:ascii="Symbol" w:hAnsi="Symbol" w:hint="default"/>
    </w:rPr>
  </w:style>
  <w:style w:type="character" w:customStyle="1" w:styleId="onewind3">
    <w:name w:val="onewind3"/>
    <w:basedOn w:val="a0"/>
    <w:rsid w:val="00AA0CA4"/>
    <w:rPr>
      <w:rFonts w:ascii="Wingdings 3" w:hAnsi="Wingdings 3" w:hint="default"/>
    </w:rPr>
  </w:style>
  <w:style w:type="character" w:customStyle="1" w:styleId="onewind2">
    <w:name w:val="onewind2"/>
    <w:basedOn w:val="a0"/>
    <w:rsid w:val="00AA0CA4"/>
    <w:rPr>
      <w:rFonts w:ascii="Wingdings 2" w:hAnsi="Wingdings 2" w:hint="default"/>
    </w:rPr>
  </w:style>
  <w:style w:type="character" w:customStyle="1" w:styleId="onewind">
    <w:name w:val="onewind"/>
    <w:basedOn w:val="a0"/>
    <w:rsid w:val="00AA0CA4"/>
    <w:rPr>
      <w:rFonts w:ascii="Wingdings" w:hAnsi="Wingdings" w:hint="default"/>
    </w:rPr>
  </w:style>
  <w:style w:type="character" w:customStyle="1" w:styleId="rednoun">
    <w:name w:val="rednoun"/>
    <w:basedOn w:val="a0"/>
    <w:rsid w:val="00AA0CA4"/>
  </w:style>
  <w:style w:type="character" w:customStyle="1" w:styleId="post">
    <w:name w:val="post"/>
    <w:basedOn w:val="a0"/>
    <w:rsid w:val="00AA0CA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AA0CA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AA0CA4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AA0CA4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AA0CA4"/>
    <w:rPr>
      <w:rFonts w:ascii="Arial" w:hAnsi="Arial" w:cs="Arial" w:hint="default"/>
    </w:rPr>
  </w:style>
  <w:style w:type="table" w:customStyle="1" w:styleId="tablencpi">
    <w:name w:val="tablencpi"/>
    <w:basedOn w:val="a1"/>
    <w:rsid w:val="00AA0CA4"/>
    <w:rPr>
      <w:rFonts w:eastAsia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AA0C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A0CA4"/>
  </w:style>
  <w:style w:type="paragraph" w:styleId="a7">
    <w:name w:val="footer"/>
    <w:basedOn w:val="a"/>
    <w:link w:val="a8"/>
    <w:uiPriority w:val="99"/>
    <w:unhideWhenUsed/>
    <w:rsid w:val="00AA0C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A0CA4"/>
  </w:style>
  <w:style w:type="character" w:styleId="a9">
    <w:name w:val="page number"/>
    <w:basedOn w:val="a0"/>
    <w:uiPriority w:val="99"/>
    <w:semiHidden/>
    <w:unhideWhenUsed/>
    <w:rsid w:val="00AA0CA4"/>
  </w:style>
  <w:style w:type="table" w:styleId="aa">
    <w:name w:val="Table Grid"/>
    <w:basedOn w:val="a1"/>
    <w:uiPriority w:val="59"/>
    <w:rsid w:val="00AA0C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0CA4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AA0CA4"/>
    <w:rPr>
      <w:color w:val="154C94"/>
      <w:u w:val="single"/>
    </w:rPr>
  </w:style>
  <w:style w:type="paragraph" w:customStyle="1" w:styleId="part">
    <w:name w:val="part"/>
    <w:basedOn w:val="a"/>
    <w:rsid w:val="00AA0CA4"/>
    <w:pPr>
      <w:spacing w:before="240" w:after="240"/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article">
    <w:name w:val="article"/>
    <w:basedOn w:val="a"/>
    <w:rsid w:val="00AA0CA4"/>
    <w:pPr>
      <w:spacing w:before="240" w:after="240"/>
      <w:ind w:left="1922" w:hanging="1355"/>
    </w:pPr>
    <w:rPr>
      <w:rFonts w:eastAsia="Times New Roman"/>
      <w:b/>
      <w:bCs/>
      <w:sz w:val="24"/>
      <w:szCs w:val="24"/>
      <w:lang w:eastAsia="ru-RU"/>
    </w:rPr>
  </w:style>
  <w:style w:type="paragraph" w:customStyle="1" w:styleId="title">
    <w:name w:val="title"/>
    <w:basedOn w:val="a"/>
    <w:rsid w:val="00AA0CA4"/>
    <w:pPr>
      <w:spacing w:before="240" w:after="240"/>
      <w:ind w:right="2268"/>
    </w:pPr>
    <w:rPr>
      <w:rFonts w:eastAsia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AA0CA4"/>
    <w:pPr>
      <w:spacing w:before="240" w:after="240"/>
      <w:ind w:right="2268"/>
    </w:pPr>
    <w:rPr>
      <w:rFonts w:eastAsia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AA0CA4"/>
    <w:pPr>
      <w:jc w:val="center"/>
    </w:pPr>
    <w:rPr>
      <w:rFonts w:eastAsiaTheme="minorEastAsia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AA0CA4"/>
    <w:pPr>
      <w:spacing w:before="240" w:after="240"/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AA0CA4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AA0CA4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AA0CA4"/>
    <w:pPr>
      <w:spacing w:after="28"/>
    </w:pPr>
    <w:rPr>
      <w:rFonts w:eastAsiaTheme="minorEastAsia"/>
      <w:sz w:val="22"/>
      <w:szCs w:val="22"/>
      <w:lang w:eastAsia="ru-RU"/>
    </w:rPr>
  </w:style>
  <w:style w:type="paragraph" w:customStyle="1" w:styleId="razdel">
    <w:name w:val="razdel"/>
    <w:basedOn w:val="a"/>
    <w:rsid w:val="00AA0CA4"/>
    <w:pPr>
      <w:ind w:firstLine="567"/>
      <w:jc w:val="center"/>
    </w:pPr>
    <w:rPr>
      <w:rFonts w:eastAsiaTheme="minorEastAsia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AA0CA4"/>
    <w:pPr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AA0CA4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AA0CA4"/>
    <w:pPr>
      <w:jc w:val="right"/>
    </w:pPr>
    <w:rPr>
      <w:rFonts w:eastAsiaTheme="minorEastAsia"/>
      <w:sz w:val="22"/>
      <w:szCs w:val="22"/>
      <w:lang w:eastAsia="ru-RU"/>
    </w:rPr>
  </w:style>
  <w:style w:type="paragraph" w:customStyle="1" w:styleId="titleu">
    <w:name w:val="titleu"/>
    <w:basedOn w:val="a"/>
    <w:rsid w:val="00AA0CA4"/>
    <w:pPr>
      <w:spacing w:before="240" w:after="240"/>
    </w:pPr>
    <w:rPr>
      <w:rFonts w:eastAsiaTheme="minorEastAsia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AA0CA4"/>
    <w:pPr>
      <w:spacing w:before="240"/>
      <w:jc w:val="center"/>
    </w:pPr>
    <w:rPr>
      <w:rFonts w:eastAsiaTheme="minorEastAsia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AA0CA4"/>
    <w:rPr>
      <w:rFonts w:eastAsiaTheme="minorEastAsia"/>
      <w:sz w:val="20"/>
      <w:szCs w:val="20"/>
      <w:lang w:eastAsia="ru-RU"/>
    </w:rPr>
  </w:style>
  <w:style w:type="paragraph" w:customStyle="1" w:styleId="point">
    <w:name w:val="point"/>
    <w:basedOn w:val="a"/>
    <w:rsid w:val="00AA0CA4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underpoint">
    <w:name w:val="underpoint"/>
    <w:basedOn w:val="a"/>
    <w:rsid w:val="00AA0CA4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signed">
    <w:name w:val="signed"/>
    <w:basedOn w:val="a"/>
    <w:rsid w:val="00AA0CA4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odobren">
    <w:name w:val="odobren"/>
    <w:basedOn w:val="a"/>
    <w:rsid w:val="00AA0CA4"/>
    <w:rPr>
      <w:rFonts w:eastAsiaTheme="minorEastAsia"/>
      <w:sz w:val="22"/>
      <w:szCs w:val="22"/>
      <w:lang w:eastAsia="ru-RU"/>
    </w:rPr>
  </w:style>
  <w:style w:type="paragraph" w:customStyle="1" w:styleId="odobren1">
    <w:name w:val="odobren1"/>
    <w:basedOn w:val="a"/>
    <w:rsid w:val="00AA0CA4"/>
    <w:pPr>
      <w:spacing w:after="120"/>
    </w:pPr>
    <w:rPr>
      <w:rFonts w:eastAsiaTheme="minorEastAsia"/>
      <w:sz w:val="22"/>
      <w:szCs w:val="22"/>
      <w:lang w:eastAsia="ru-RU"/>
    </w:rPr>
  </w:style>
  <w:style w:type="paragraph" w:customStyle="1" w:styleId="comment">
    <w:name w:val="comment"/>
    <w:basedOn w:val="a"/>
    <w:rsid w:val="00AA0CA4"/>
    <w:pPr>
      <w:ind w:firstLine="709"/>
      <w:jc w:val="both"/>
    </w:pPr>
    <w:rPr>
      <w:rFonts w:eastAsiaTheme="minorEastAsia"/>
      <w:sz w:val="20"/>
      <w:szCs w:val="20"/>
      <w:lang w:eastAsia="ru-RU"/>
    </w:rPr>
  </w:style>
  <w:style w:type="paragraph" w:customStyle="1" w:styleId="preamble">
    <w:name w:val="preamble"/>
    <w:basedOn w:val="a"/>
    <w:rsid w:val="00AA0CA4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snoski">
    <w:name w:val="snoski"/>
    <w:basedOn w:val="a"/>
    <w:rsid w:val="00AA0CA4"/>
    <w:pPr>
      <w:ind w:firstLine="567"/>
      <w:jc w:val="both"/>
    </w:pPr>
    <w:rPr>
      <w:rFonts w:eastAsiaTheme="minorEastAsia"/>
      <w:sz w:val="20"/>
      <w:szCs w:val="20"/>
      <w:lang w:eastAsia="ru-RU"/>
    </w:rPr>
  </w:style>
  <w:style w:type="paragraph" w:customStyle="1" w:styleId="snoskiline">
    <w:name w:val="snoskiline"/>
    <w:basedOn w:val="a"/>
    <w:rsid w:val="00AA0CA4"/>
    <w:pPr>
      <w:jc w:val="both"/>
    </w:pPr>
    <w:rPr>
      <w:rFonts w:eastAsiaTheme="minorEastAsia"/>
      <w:sz w:val="20"/>
      <w:szCs w:val="20"/>
      <w:lang w:eastAsia="ru-RU"/>
    </w:rPr>
  </w:style>
  <w:style w:type="paragraph" w:customStyle="1" w:styleId="paragraph">
    <w:name w:val="paragraph"/>
    <w:basedOn w:val="a"/>
    <w:rsid w:val="00AA0CA4"/>
    <w:pPr>
      <w:spacing w:before="240" w:after="240"/>
      <w:ind w:firstLine="567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AA0CA4"/>
    <w:rPr>
      <w:rFonts w:eastAsiaTheme="minorEastAsia"/>
      <w:sz w:val="20"/>
      <w:szCs w:val="20"/>
      <w:lang w:eastAsia="ru-RU"/>
    </w:rPr>
  </w:style>
  <w:style w:type="paragraph" w:customStyle="1" w:styleId="numnrpa">
    <w:name w:val="numnrpa"/>
    <w:basedOn w:val="a"/>
    <w:rsid w:val="00AA0CA4"/>
    <w:rPr>
      <w:rFonts w:eastAsiaTheme="minorEastAsia"/>
      <w:sz w:val="36"/>
      <w:szCs w:val="36"/>
      <w:lang w:eastAsia="ru-RU"/>
    </w:rPr>
  </w:style>
  <w:style w:type="paragraph" w:customStyle="1" w:styleId="append">
    <w:name w:val="append"/>
    <w:basedOn w:val="a"/>
    <w:rsid w:val="00AA0CA4"/>
    <w:rPr>
      <w:rFonts w:eastAsiaTheme="minorEastAsia"/>
      <w:sz w:val="22"/>
      <w:szCs w:val="22"/>
      <w:lang w:eastAsia="ru-RU"/>
    </w:rPr>
  </w:style>
  <w:style w:type="paragraph" w:customStyle="1" w:styleId="prinodobren">
    <w:name w:val="prinodobren"/>
    <w:basedOn w:val="a"/>
    <w:rsid w:val="00AA0CA4"/>
    <w:pPr>
      <w:spacing w:before="240" w:after="240"/>
    </w:pPr>
    <w:rPr>
      <w:rFonts w:eastAsiaTheme="minorEastAsia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AA0CA4"/>
    <w:rPr>
      <w:rFonts w:eastAsiaTheme="minorEastAsia"/>
      <w:sz w:val="24"/>
      <w:szCs w:val="24"/>
      <w:lang w:eastAsia="ru-RU"/>
    </w:rPr>
  </w:style>
  <w:style w:type="paragraph" w:customStyle="1" w:styleId="nonumheader">
    <w:name w:val="nonumheader"/>
    <w:basedOn w:val="a"/>
    <w:rsid w:val="00AA0CA4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AA0CA4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AA0CA4"/>
    <w:pPr>
      <w:ind w:firstLine="1021"/>
      <w:jc w:val="both"/>
    </w:pPr>
    <w:rPr>
      <w:rFonts w:eastAsiaTheme="minorEastAsia"/>
      <w:sz w:val="22"/>
      <w:szCs w:val="22"/>
      <w:lang w:eastAsia="ru-RU"/>
    </w:rPr>
  </w:style>
  <w:style w:type="paragraph" w:customStyle="1" w:styleId="agreedate">
    <w:name w:val="agreedate"/>
    <w:basedOn w:val="a"/>
    <w:rsid w:val="00AA0CA4"/>
    <w:pPr>
      <w:jc w:val="both"/>
    </w:pPr>
    <w:rPr>
      <w:rFonts w:eastAsiaTheme="minorEastAsia"/>
      <w:sz w:val="22"/>
      <w:szCs w:val="22"/>
      <w:lang w:eastAsia="ru-RU"/>
    </w:rPr>
  </w:style>
  <w:style w:type="paragraph" w:customStyle="1" w:styleId="changeadd">
    <w:name w:val="changeadd"/>
    <w:basedOn w:val="a"/>
    <w:rsid w:val="00AA0CA4"/>
    <w:pPr>
      <w:ind w:left="1134"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changei">
    <w:name w:val="changei"/>
    <w:basedOn w:val="a"/>
    <w:rsid w:val="00AA0CA4"/>
    <w:pPr>
      <w:ind w:left="1021"/>
    </w:pPr>
    <w:rPr>
      <w:rFonts w:eastAsiaTheme="minorEastAsia"/>
      <w:sz w:val="24"/>
      <w:szCs w:val="24"/>
      <w:lang w:eastAsia="ru-RU"/>
    </w:rPr>
  </w:style>
  <w:style w:type="paragraph" w:customStyle="1" w:styleId="changeutrs">
    <w:name w:val="changeutrs"/>
    <w:basedOn w:val="a"/>
    <w:rsid w:val="00AA0CA4"/>
    <w:pPr>
      <w:spacing w:after="240"/>
      <w:ind w:left="1134"/>
      <w:jc w:val="both"/>
    </w:pPr>
    <w:rPr>
      <w:rFonts w:eastAsia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AA0CA4"/>
    <w:pPr>
      <w:spacing w:before="240" w:after="240"/>
      <w:ind w:firstLine="567"/>
      <w:jc w:val="center"/>
    </w:pPr>
    <w:rPr>
      <w:rFonts w:eastAsiaTheme="minorEastAsia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AA0CA4"/>
    <w:pPr>
      <w:spacing w:after="28"/>
    </w:pPr>
    <w:rPr>
      <w:rFonts w:eastAsiaTheme="minorEastAsia"/>
      <w:sz w:val="22"/>
      <w:szCs w:val="22"/>
      <w:lang w:eastAsia="ru-RU"/>
    </w:rPr>
  </w:style>
  <w:style w:type="paragraph" w:customStyle="1" w:styleId="cap1">
    <w:name w:val="cap1"/>
    <w:basedOn w:val="a"/>
    <w:rsid w:val="00AA0CA4"/>
    <w:rPr>
      <w:rFonts w:eastAsiaTheme="minorEastAsia"/>
      <w:sz w:val="22"/>
      <w:szCs w:val="22"/>
      <w:lang w:eastAsia="ru-RU"/>
    </w:rPr>
  </w:style>
  <w:style w:type="paragraph" w:customStyle="1" w:styleId="capu1">
    <w:name w:val="capu1"/>
    <w:basedOn w:val="a"/>
    <w:rsid w:val="00AA0CA4"/>
    <w:pPr>
      <w:spacing w:after="120"/>
    </w:pPr>
    <w:rPr>
      <w:rFonts w:eastAsiaTheme="minorEastAsia"/>
      <w:sz w:val="22"/>
      <w:szCs w:val="22"/>
      <w:lang w:eastAsia="ru-RU"/>
    </w:rPr>
  </w:style>
  <w:style w:type="paragraph" w:customStyle="1" w:styleId="newncpi">
    <w:name w:val="newncpi"/>
    <w:basedOn w:val="a"/>
    <w:rsid w:val="00AA0CA4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AA0CA4"/>
    <w:pPr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1">
    <w:name w:val="newncpi1"/>
    <w:basedOn w:val="a"/>
    <w:rsid w:val="00AA0CA4"/>
    <w:pPr>
      <w:ind w:left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edizmeren">
    <w:name w:val="edizmeren"/>
    <w:basedOn w:val="a"/>
    <w:rsid w:val="00AA0CA4"/>
    <w:pPr>
      <w:jc w:val="right"/>
    </w:pPr>
    <w:rPr>
      <w:rFonts w:eastAsiaTheme="minorEastAsia"/>
      <w:sz w:val="20"/>
      <w:szCs w:val="20"/>
      <w:lang w:eastAsia="ru-RU"/>
    </w:rPr>
  </w:style>
  <w:style w:type="paragraph" w:customStyle="1" w:styleId="zagrazdel">
    <w:name w:val="zagrazdel"/>
    <w:basedOn w:val="a"/>
    <w:rsid w:val="00AA0CA4"/>
    <w:pPr>
      <w:spacing w:before="240" w:after="240"/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AA0CA4"/>
    <w:pPr>
      <w:jc w:val="center"/>
    </w:pPr>
    <w:rPr>
      <w:rFonts w:eastAsiaTheme="minorEastAsia"/>
      <w:sz w:val="24"/>
      <w:szCs w:val="24"/>
      <w:lang w:eastAsia="ru-RU"/>
    </w:rPr>
  </w:style>
  <w:style w:type="paragraph" w:customStyle="1" w:styleId="primer">
    <w:name w:val="primer"/>
    <w:basedOn w:val="a"/>
    <w:rsid w:val="00AA0CA4"/>
    <w:pPr>
      <w:ind w:firstLine="567"/>
      <w:jc w:val="both"/>
    </w:pPr>
    <w:rPr>
      <w:rFonts w:eastAsiaTheme="minorEastAsia"/>
      <w:sz w:val="20"/>
      <w:szCs w:val="20"/>
      <w:lang w:eastAsia="ru-RU"/>
    </w:rPr>
  </w:style>
  <w:style w:type="paragraph" w:customStyle="1" w:styleId="withpar">
    <w:name w:val="withpar"/>
    <w:basedOn w:val="a"/>
    <w:rsid w:val="00AA0CA4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withoutpar">
    <w:name w:val="withoutpar"/>
    <w:basedOn w:val="a"/>
    <w:rsid w:val="00AA0CA4"/>
    <w:pPr>
      <w:spacing w:after="60"/>
      <w:jc w:val="both"/>
    </w:pPr>
    <w:rPr>
      <w:rFonts w:eastAsiaTheme="minorEastAsia"/>
      <w:sz w:val="24"/>
      <w:szCs w:val="24"/>
      <w:lang w:eastAsia="ru-RU"/>
    </w:rPr>
  </w:style>
  <w:style w:type="paragraph" w:customStyle="1" w:styleId="undline">
    <w:name w:val="undline"/>
    <w:basedOn w:val="a"/>
    <w:rsid w:val="00AA0CA4"/>
    <w:pPr>
      <w:jc w:val="both"/>
    </w:pPr>
    <w:rPr>
      <w:rFonts w:eastAsiaTheme="minorEastAsia"/>
      <w:sz w:val="20"/>
      <w:szCs w:val="20"/>
      <w:lang w:eastAsia="ru-RU"/>
    </w:rPr>
  </w:style>
  <w:style w:type="paragraph" w:customStyle="1" w:styleId="underline">
    <w:name w:val="underline"/>
    <w:basedOn w:val="a"/>
    <w:rsid w:val="00AA0CA4"/>
    <w:pPr>
      <w:jc w:val="both"/>
    </w:pPr>
    <w:rPr>
      <w:rFonts w:eastAsiaTheme="minorEastAsia"/>
      <w:sz w:val="20"/>
      <w:szCs w:val="20"/>
      <w:lang w:eastAsia="ru-RU"/>
    </w:rPr>
  </w:style>
  <w:style w:type="paragraph" w:customStyle="1" w:styleId="ncpicomment">
    <w:name w:val="ncpicomment"/>
    <w:basedOn w:val="a"/>
    <w:rsid w:val="00AA0CA4"/>
    <w:pPr>
      <w:spacing w:before="120"/>
      <w:ind w:left="1134"/>
      <w:jc w:val="both"/>
    </w:pPr>
    <w:rPr>
      <w:rFonts w:eastAsiaTheme="minorEastAsia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AA0CA4"/>
    <w:pPr>
      <w:ind w:left="1134"/>
      <w:jc w:val="both"/>
    </w:pPr>
    <w:rPr>
      <w:rFonts w:eastAsiaTheme="minorEastAsia"/>
      <w:sz w:val="24"/>
      <w:szCs w:val="24"/>
      <w:lang w:eastAsia="ru-RU"/>
    </w:rPr>
  </w:style>
  <w:style w:type="paragraph" w:customStyle="1" w:styleId="ncpidel">
    <w:name w:val="ncpidel"/>
    <w:basedOn w:val="a"/>
    <w:rsid w:val="00AA0CA4"/>
    <w:pPr>
      <w:ind w:left="1134"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tsifra">
    <w:name w:val="tsifra"/>
    <w:basedOn w:val="a"/>
    <w:rsid w:val="00AA0CA4"/>
    <w:rPr>
      <w:rFonts w:eastAsiaTheme="minorEastAsia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AA0CA4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v">
    <w:name w:val="newncpiv"/>
    <w:basedOn w:val="a"/>
    <w:rsid w:val="00AA0CA4"/>
    <w:pPr>
      <w:ind w:firstLine="567"/>
      <w:jc w:val="both"/>
    </w:pPr>
    <w:rPr>
      <w:rFonts w:eastAsiaTheme="minorEastAsia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AA0CA4"/>
    <w:pPr>
      <w:ind w:firstLine="567"/>
      <w:jc w:val="both"/>
    </w:pPr>
    <w:rPr>
      <w:rFonts w:eastAsiaTheme="minorEastAsia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AA0CA4"/>
    <w:pPr>
      <w:spacing w:before="240" w:after="240"/>
      <w:ind w:firstLine="567"/>
    </w:pPr>
    <w:rPr>
      <w:rFonts w:eastAsiaTheme="minorEastAsia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AA0CA4"/>
    <w:pPr>
      <w:spacing w:before="240" w:after="240"/>
      <w:ind w:firstLine="567"/>
      <w:jc w:val="center"/>
    </w:pPr>
    <w:rPr>
      <w:rFonts w:eastAsiaTheme="minorEastAsia"/>
      <w:caps/>
      <w:sz w:val="22"/>
      <w:szCs w:val="22"/>
      <w:lang w:eastAsia="ru-RU"/>
    </w:rPr>
  </w:style>
  <w:style w:type="paragraph" w:customStyle="1" w:styleId="contenttext">
    <w:name w:val="contenttext"/>
    <w:basedOn w:val="a"/>
    <w:rsid w:val="00AA0CA4"/>
    <w:pPr>
      <w:ind w:left="1134" w:hanging="1134"/>
    </w:pPr>
    <w:rPr>
      <w:rFonts w:eastAsiaTheme="minorEastAsia"/>
      <w:sz w:val="22"/>
      <w:szCs w:val="22"/>
      <w:lang w:eastAsia="ru-RU"/>
    </w:rPr>
  </w:style>
  <w:style w:type="paragraph" w:customStyle="1" w:styleId="gosreg">
    <w:name w:val="gosreg"/>
    <w:basedOn w:val="a"/>
    <w:rsid w:val="00AA0CA4"/>
    <w:pPr>
      <w:jc w:val="both"/>
    </w:pPr>
    <w:rPr>
      <w:rFonts w:eastAsiaTheme="minorEastAsia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AA0CA4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AA0CA4"/>
    <w:pPr>
      <w:spacing w:before="240" w:after="240"/>
    </w:pPr>
    <w:rPr>
      <w:rFonts w:eastAsiaTheme="minorEastAsia"/>
      <w:sz w:val="24"/>
      <w:szCs w:val="24"/>
      <w:lang w:eastAsia="ru-RU"/>
    </w:rPr>
  </w:style>
  <w:style w:type="paragraph" w:customStyle="1" w:styleId="recepient">
    <w:name w:val="recepient"/>
    <w:basedOn w:val="a"/>
    <w:rsid w:val="00AA0CA4"/>
    <w:pPr>
      <w:ind w:left="5103"/>
    </w:pPr>
    <w:rPr>
      <w:rFonts w:eastAsiaTheme="minorEastAsia"/>
      <w:sz w:val="24"/>
      <w:szCs w:val="24"/>
      <w:lang w:eastAsia="ru-RU"/>
    </w:rPr>
  </w:style>
  <w:style w:type="paragraph" w:customStyle="1" w:styleId="doklad">
    <w:name w:val="doklad"/>
    <w:basedOn w:val="a"/>
    <w:rsid w:val="00AA0CA4"/>
    <w:pPr>
      <w:ind w:left="2835"/>
    </w:pPr>
    <w:rPr>
      <w:rFonts w:eastAsiaTheme="minorEastAsia"/>
      <w:sz w:val="24"/>
      <w:szCs w:val="24"/>
      <w:lang w:eastAsia="ru-RU"/>
    </w:rPr>
  </w:style>
  <w:style w:type="paragraph" w:customStyle="1" w:styleId="onpaper">
    <w:name w:val="onpaper"/>
    <w:basedOn w:val="a"/>
    <w:rsid w:val="00AA0CA4"/>
    <w:pPr>
      <w:ind w:firstLine="567"/>
      <w:jc w:val="both"/>
    </w:pPr>
    <w:rPr>
      <w:rFonts w:eastAsiaTheme="minorEastAsia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AA0CA4"/>
    <w:pPr>
      <w:jc w:val="center"/>
    </w:pPr>
    <w:rPr>
      <w:rFonts w:eastAsiaTheme="minorEastAsia"/>
      <w:sz w:val="24"/>
      <w:szCs w:val="24"/>
      <w:lang w:eastAsia="ru-RU"/>
    </w:rPr>
  </w:style>
  <w:style w:type="paragraph" w:customStyle="1" w:styleId="tableblank">
    <w:name w:val="tableblank"/>
    <w:basedOn w:val="a"/>
    <w:rsid w:val="00AA0CA4"/>
    <w:rPr>
      <w:rFonts w:eastAsiaTheme="minorEastAsia"/>
      <w:sz w:val="24"/>
      <w:szCs w:val="24"/>
      <w:lang w:eastAsia="ru-RU"/>
    </w:rPr>
  </w:style>
  <w:style w:type="paragraph" w:customStyle="1" w:styleId="table9">
    <w:name w:val="table9"/>
    <w:basedOn w:val="a"/>
    <w:rsid w:val="00AA0CA4"/>
    <w:rPr>
      <w:rFonts w:eastAsiaTheme="minorEastAsia"/>
      <w:sz w:val="18"/>
      <w:szCs w:val="18"/>
      <w:lang w:eastAsia="ru-RU"/>
    </w:rPr>
  </w:style>
  <w:style w:type="paragraph" w:customStyle="1" w:styleId="table8">
    <w:name w:val="table8"/>
    <w:basedOn w:val="a"/>
    <w:rsid w:val="00AA0CA4"/>
    <w:rPr>
      <w:rFonts w:eastAsiaTheme="minorEastAsia"/>
      <w:sz w:val="16"/>
      <w:szCs w:val="16"/>
      <w:lang w:eastAsia="ru-RU"/>
    </w:rPr>
  </w:style>
  <w:style w:type="paragraph" w:customStyle="1" w:styleId="table7">
    <w:name w:val="table7"/>
    <w:basedOn w:val="a"/>
    <w:rsid w:val="00AA0CA4"/>
    <w:rPr>
      <w:rFonts w:eastAsiaTheme="minorEastAsia"/>
      <w:sz w:val="14"/>
      <w:szCs w:val="14"/>
      <w:lang w:eastAsia="ru-RU"/>
    </w:rPr>
  </w:style>
  <w:style w:type="paragraph" w:customStyle="1" w:styleId="begform">
    <w:name w:val="begform"/>
    <w:basedOn w:val="a"/>
    <w:rsid w:val="00AA0CA4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endform">
    <w:name w:val="endform"/>
    <w:basedOn w:val="a"/>
    <w:rsid w:val="00AA0CA4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AA0CA4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AA0CA4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AA0CA4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AA0CA4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AA0CA4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A0CA4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AA0CA4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AA0CA4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AA0CA4"/>
    <w:rPr>
      <w:rFonts w:ascii="Symbol" w:hAnsi="Symbol" w:hint="default"/>
    </w:rPr>
  </w:style>
  <w:style w:type="character" w:customStyle="1" w:styleId="onewind3">
    <w:name w:val="onewind3"/>
    <w:basedOn w:val="a0"/>
    <w:rsid w:val="00AA0CA4"/>
    <w:rPr>
      <w:rFonts w:ascii="Wingdings 3" w:hAnsi="Wingdings 3" w:hint="default"/>
    </w:rPr>
  </w:style>
  <w:style w:type="character" w:customStyle="1" w:styleId="onewind2">
    <w:name w:val="onewind2"/>
    <w:basedOn w:val="a0"/>
    <w:rsid w:val="00AA0CA4"/>
    <w:rPr>
      <w:rFonts w:ascii="Wingdings 2" w:hAnsi="Wingdings 2" w:hint="default"/>
    </w:rPr>
  </w:style>
  <w:style w:type="character" w:customStyle="1" w:styleId="onewind">
    <w:name w:val="onewind"/>
    <w:basedOn w:val="a0"/>
    <w:rsid w:val="00AA0CA4"/>
    <w:rPr>
      <w:rFonts w:ascii="Wingdings" w:hAnsi="Wingdings" w:hint="default"/>
    </w:rPr>
  </w:style>
  <w:style w:type="character" w:customStyle="1" w:styleId="rednoun">
    <w:name w:val="rednoun"/>
    <w:basedOn w:val="a0"/>
    <w:rsid w:val="00AA0CA4"/>
  </w:style>
  <w:style w:type="character" w:customStyle="1" w:styleId="post">
    <w:name w:val="post"/>
    <w:basedOn w:val="a0"/>
    <w:rsid w:val="00AA0CA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AA0CA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AA0CA4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AA0CA4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AA0CA4"/>
    <w:rPr>
      <w:rFonts w:ascii="Arial" w:hAnsi="Arial" w:cs="Arial" w:hint="default"/>
    </w:rPr>
  </w:style>
  <w:style w:type="table" w:customStyle="1" w:styleId="tablencpi">
    <w:name w:val="tablencpi"/>
    <w:basedOn w:val="a1"/>
    <w:rsid w:val="00AA0CA4"/>
    <w:rPr>
      <w:rFonts w:eastAsia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AA0C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A0CA4"/>
  </w:style>
  <w:style w:type="paragraph" w:styleId="a7">
    <w:name w:val="footer"/>
    <w:basedOn w:val="a"/>
    <w:link w:val="a8"/>
    <w:uiPriority w:val="99"/>
    <w:unhideWhenUsed/>
    <w:rsid w:val="00AA0C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A0CA4"/>
  </w:style>
  <w:style w:type="character" w:styleId="a9">
    <w:name w:val="page number"/>
    <w:basedOn w:val="a0"/>
    <w:uiPriority w:val="99"/>
    <w:semiHidden/>
    <w:unhideWhenUsed/>
    <w:rsid w:val="00AA0CA4"/>
  </w:style>
  <w:style w:type="table" w:styleId="aa">
    <w:name w:val="Table Grid"/>
    <w:basedOn w:val="a1"/>
    <w:uiPriority w:val="59"/>
    <w:rsid w:val="00AA0C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4252</Words>
  <Characters>24364</Characters>
  <Application>Microsoft Office Word</Application>
  <DocSecurity>0</DocSecurity>
  <Lines>2436</Lines>
  <Paragraphs>2043</Paragraphs>
  <ScaleCrop>false</ScaleCrop>
  <Company/>
  <LinksUpToDate>false</LinksUpToDate>
  <CharactersWithSpaces>26573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Райсовет депутатов</dc:creator>
  <cp:lastModifiedBy>Райсовет депутатов</cp:lastModifiedBy>
  <cp:revision>2</cp:revision>
  <dcterms:created xsi:type="dcterms:W3CDTF">2017-04-28T05:28:00Z</dcterms:created>
  <dcterms:modified xsi:type="dcterms:W3CDTF">2017-04-28T05:30:00Z</dcterms:modified>
</cp:coreProperties>
</file>